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339E32C9"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83602A">
              <w:rPr>
                <w:b/>
                <w:sz w:val="20"/>
                <w:szCs w:val="20"/>
                <w:lang w:val="en-US"/>
              </w:rPr>
              <w:t>TÜRK DİN MUSİKİSİ</w:t>
            </w:r>
            <w:r w:rsidR="00EE3952">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7747076" w14:textId="77777777" w:rsidR="008F0EB6" w:rsidRPr="008F0EB6" w:rsidRDefault="008F0EB6" w:rsidP="008F0EB6">
            <w:pPr>
              <w:pStyle w:val="TableParagraph"/>
              <w:ind w:left="62" w:right="47"/>
              <w:jc w:val="center"/>
              <w:rPr>
                <w:sz w:val="20"/>
              </w:rPr>
            </w:pPr>
            <w:r w:rsidRPr="008F0EB6">
              <w:rPr>
                <w:sz w:val="20"/>
              </w:rPr>
              <w:t xml:space="preserve">RFOR805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3E5DE650" w14:textId="77777777" w:rsidR="008F0EB6" w:rsidRPr="008F0EB6" w:rsidRDefault="008F0EB6" w:rsidP="008F0EB6">
            <w:pPr>
              <w:pStyle w:val="TableParagraph"/>
              <w:ind w:left="14"/>
              <w:jc w:val="center"/>
              <w:rPr>
                <w:sz w:val="20"/>
              </w:rPr>
            </w:pPr>
            <w:r w:rsidRPr="008F0EB6">
              <w:rPr>
                <w:sz w:val="20"/>
              </w:rPr>
              <w:t xml:space="preserve">EĞİTİMDE ÖLÇME VE DEĞERLENDİRME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3C9AE0F2"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D3C686F" w:rsidR="00867237" w:rsidRPr="00A07762" w:rsidRDefault="008F0EB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6B8AA079" w:rsidR="00867237" w:rsidRPr="00A07762" w:rsidRDefault="00884D36"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6FD90982" w14:textId="77777777" w:rsidR="008F0EB6" w:rsidRPr="008F0EB6" w:rsidRDefault="00867237" w:rsidP="008F0EB6">
            <w:pPr>
              <w:pStyle w:val="TableParagraph"/>
              <w:jc w:val="both"/>
              <w:rPr>
                <w:sz w:val="20"/>
              </w:rPr>
            </w:pPr>
            <w:r>
              <w:rPr>
                <w:sz w:val="20"/>
              </w:rPr>
              <w:t xml:space="preserve"> </w:t>
            </w:r>
            <w:r w:rsidR="008F0EB6" w:rsidRPr="008F0EB6">
              <w:rPr>
                <w:sz w:val="20"/>
              </w:rPr>
              <w:t xml:space="preserve">Dr. Öğr. Üyesi MİNE YİĞİTER </w:t>
            </w:r>
          </w:p>
          <w:p w14:paraId="1ABCB78D" w14:textId="744EC0BA"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2E95F16"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1FD8B7B0" w14:textId="77777777" w:rsidR="008F0EB6" w:rsidRPr="008F0EB6" w:rsidRDefault="008F0EB6" w:rsidP="008F0EB6">
            <w:pPr>
              <w:pStyle w:val="TableParagraph"/>
              <w:spacing w:before="54"/>
              <w:jc w:val="both"/>
              <w:rPr>
                <w:sz w:val="20"/>
              </w:rPr>
            </w:pPr>
            <w:r w:rsidRPr="008F0EB6">
              <w:rPr>
                <w:sz w:val="20"/>
              </w:rPr>
              <w:t>Bu dersin genel amacı, eğitimde ölçme ve değerlendirme süreçlerinin ve araçlarının kapsamını ve kullanımını öğrenmek olup başlıca konular: Eğitimde ölçme ve değerlendirmenin yeri ve önemi; ölçme ve değerlendirmeyle ilgili temel kavramlar; ölçme araçlarının psikometrik (geçerlilik, güvenirlilik, kullanışlılık) özellikleri; sınıfta kullanılacak ölçme araçlarının geliştirilmesi; başarı testleri geliştirme ve uygulama; test sonuçlarının yorumlanması ve geri bildirim verilmesi; test ve madde puanlarının analizi; değerlendirme ve not verme.</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53A6A2D" w14:textId="77777777" w:rsidR="008F0EB6" w:rsidRPr="008F0EB6" w:rsidRDefault="008F0EB6" w:rsidP="008F0EB6">
            <w:pPr>
              <w:pStyle w:val="TableParagraph"/>
              <w:spacing w:before="140"/>
              <w:jc w:val="both"/>
              <w:rPr>
                <w:iCs/>
                <w:sz w:val="20"/>
              </w:rPr>
            </w:pPr>
            <w:r w:rsidRPr="008F0EB6">
              <w:rPr>
                <w:iCs/>
                <w:sz w:val="20"/>
              </w:rPr>
              <w:t xml:space="preserve">Tekindal, S. (2017). Eğitimde ölçme ve değerlendirme. Pegem 1-325.&lt;BR&gt;Turgut, M.F. ve Baykul, Y. (2010) Eğitimde Ölçme ve Değerlendirme Metotları. Ankara: Pegem Akademi yayınları.&lt;BR&gt;Miller, M. D., Linn, R., &amp; Gronlund, N. (2009). Measurement and evaluation in teaching. New Jersey, Pearson Education, Inc.&lt;BR&gt;Airasian, P. W., and Russell, M. K. (2008) Classroom Assessment: Concepts and Applications. New York: Mc Graw- Hill Higher Education.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25A37901" w14:textId="77777777" w:rsidR="008F0EB6" w:rsidRPr="008F0EB6" w:rsidRDefault="008F0EB6" w:rsidP="008F0EB6">
            <w:pPr>
              <w:pStyle w:val="TableParagraph"/>
              <w:spacing w:before="159"/>
              <w:ind w:left="110"/>
              <w:jc w:val="both"/>
              <w:rPr>
                <w:sz w:val="20"/>
              </w:rPr>
            </w:pPr>
            <w:r w:rsidRPr="008F0EB6">
              <w:rPr>
                <w:sz w:val="20"/>
              </w:rPr>
              <w:t xml:space="preserve">Bu ders, ölçme ve değerlendirmenin eğitimdeki yeri ve önemi; ölçme ve değerlendirme ile ilgili temel kavramlar; ölçme araçlarının psikometrik özellikleri (geçerlilik) üzerine odaklanmaktadır, güvenilirlik, kullanılabilirlik); sınıfta kullanılacak ölçme araçlarının geliştirilmesi; başarı testlerinin geliştirilmesi ve uygulanması; test sonuçlarının yorumlanması ve geri bildirimin sağlanması; testin analizi ve madde puanları; değerlendirme ve derecelendirme. </w:t>
            </w:r>
          </w:p>
          <w:p w14:paraId="008A3926" w14:textId="2260F872"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242FC98B" w14:textId="77777777" w:rsidR="008F0EB6" w:rsidRPr="008F0EB6" w:rsidRDefault="008F0EB6" w:rsidP="008F0EB6">
                  <w:pPr>
                    <w:jc w:val="both"/>
                  </w:pPr>
                  <w:r w:rsidRPr="008F0EB6">
                    <w:t>Ölçme ve değerlendirmenin temel kavramları tanımlar.</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009433A6" w14:textId="77777777" w:rsidR="008F0EB6" w:rsidRPr="008F0EB6" w:rsidRDefault="008F0EB6" w:rsidP="008F0EB6">
                  <w:pPr>
                    <w:jc w:val="both"/>
                  </w:pPr>
                  <w:r w:rsidRPr="008F0EB6">
                    <w:t xml:space="preserve">Ölçme araçlarının psikometrik (geçerlk, güvenirlik, kullanışlılık) özelliklerini kavrar </w:t>
                  </w:r>
                </w:p>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4F182CAB" w14:textId="0315F887" w:rsidR="008F0EB6" w:rsidRPr="008F0EB6" w:rsidRDefault="008F0EB6" w:rsidP="008F0EB6">
                  <w:pPr>
                    <w:tabs>
                      <w:tab w:val="left" w:pos="1159"/>
                    </w:tabs>
                    <w:jc w:val="both"/>
                  </w:pPr>
                  <w:r w:rsidRPr="008F0EB6">
                    <w:t xml:space="preserve">Ölçme araçlarını geliştirip uygular ve gerekli istatistiksel analizleri yapabilir. </w:t>
                  </w:r>
                </w:p>
                <w:p w14:paraId="690FBF50" w14:textId="6D76779B" w:rsidR="003D5B92" w:rsidRDefault="003D5B92" w:rsidP="008F0EB6">
                  <w:pPr>
                    <w:tabs>
                      <w:tab w:val="left" w:pos="1159"/>
                    </w:tabs>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4474CD4A" w14:textId="77777777" w:rsidR="008F0EB6" w:rsidRPr="008F0EB6" w:rsidRDefault="008F0EB6" w:rsidP="008F0EB6">
                  <w:pPr>
                    <w:jc w:val="both"/>
                  </w:pPr>
                  <w:r w:rsidRPr="008F0EB6">
                    <w:t xml:space="preserve">Ölçme ve değerlendirmenin önemini kavrar. </w:t>
                  </w:r>
                </w:p>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5E5E6323" w:rsidR="006F7080" w:rsidRDefault="008F0EB6" w:rsidP="006F7080">
                  <w:pPr>
                    <w:jc w:val="both"/>
                  </w:pPr>
                  <w:r>
                    <w:t xml:space="preserve">Ölçme ve değerlendirmenin temel kavramlarını, araçlarını bilir ve uygular. </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BC1E54E" w14:textId="5025ABEE" w:rsidR="008F0EB6" w:rsidRPr="008F0EB6" w:rsidRDefault="008F0EB6" w:rsidP="008F0EB6">
                  <w:pPr>
                    <w:tabs>
                      <w:tab w:val="left" w:pos="931"/>
                    </w:tabs>
                    <w:jc w:val="both"/>
                  </w:pPr>
                  <w:r w:rsidRPr="008F0EB6">
                    <w:t xml:space="preserve">Eğitimde ölçme ve değerlendirmenin yeri ve önemi </w:t>
                  </w:r>
                </w:p>
                <w:p w14:paraId="64A626F6" w14:textId="0886C631" w:rsidR="00AE2FFC" w:rsidRDefault="00AE2FFC" w:rsidP="008F0EB6">
                  <w:pPr>
                    <w:tabs>
                      <w:tab w:val="left" w:pos="931"/>
                    </w:tabs>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270444C8" w14:textId="0AC15C25" w:rsidR="008F0EB6" w:rsidRPr="008F0EB6" w:rsidRDefault="008F0EB6" w:rsidP="008F0EB6">
                  <w:pPr>
                    <w:tabs>
                      <w:tab w:val="left" w:pos="2669"/>
                    </w:tabs>
                    <w:jc w:val="both"/>
                  </w:pPr>
                  <w:r w:rsidRPr="008F0EB6">
                    <w:t xml:space="preserve">Ölçme ve değerlendirme ile ilgili temel kavramlar </w:t>
                  </w:r>
                </w:p>
                <w:p w14:paraId="70E522A4" w14:textId="69CF6500" w:rsidR="00AE2FFC" w:rsidRDefault="00AE2FFC" w:rsidP="008F0EB6">
                  <w:pPr>
                    <w:tabs>
                      <w:tab w:val="left" w:pos="2669"/>
                    </w:tabs>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8960096" w14:textId="77777777" w:rsidR="008F0EB6" w:rsidRPr="008F0EB6" w:rsidRDefault="008F0EB6" w:rsidP="008F0EB6">
                  <w:pPr>
                    <w:jc w:val="both"/>
                  </w:pPr>
                  <w:r w:rsidRPr="008F0EB6">
                    <w:t xml:space="preserve">Ölçme ve değerlendirme türleri </w:t>
                  </w:r>
                </w:p>
                <w:p w14:paraId="013EE06E" w14:textId="77777777" w:rsidR="00AE2FFC" w:rsidRDefault="00AE2FFC" w:rsidP="008F0EB6">
                  <w:pPr>
                    <w:ind w:firstLine="720"/>
                    <w:jc w:val="both"/>
                  </w:pP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46D48D5D" w14:textId="05E620C9" w:rsidR="008F0EB6" w:rsidRPr="008F0EB6" w:rsidRDefault="008F0EB6" w:rsidP="008F0EB6">
                  <w:pPr>
                    <w:tabs>
                      <w:tab w:val="left" w:pos="2318"/>
                    </w:tabs>
                    <w:jc w:val="both"/>
                  </w:pPr>
                  <w:r w:rsidRPr="008F0EB6">
                    <w:t xml:space="preserve">Eğitimde kullanılan ölçme araçları ve özellikleri </w:t>
                  </w:r>
                </w:p>
                <w:p w14:paraId="35261A85" w14:textId="633FFE20" w:rsidR="00AE2FFC" w:rsidRDefault="00AE2FFC" w:rsidP="008F0EB6">
                  <w:pPr>
                    <w:tabs>
                      <w:tab w:val="left" w:pos="2318"/>
                    </w:tabs>
                    <w:jc w:val="both"/>
                  </w:pP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47DA8FDE" w14:textId="357F69FE" w:rsidR="008F0EB6" w:rsidRPr="008F0EB6" w:rsidRDefault="008F0EB6" w:rsidP="008F0EB6">
                  <w:pPr>
                    <w:tabs>
                      <w:tab w:val="left" w:pos="1493"/>
                    </w:tabs>
                    <w:jc w:val="both"/>
                  </w:pPr>
                  <w:r w:rsidRPr="008F0EB6">
                    <w:t xml:space="preserve">Ölçme araçlarında bulunması gereken özellikler (Geçerlilik, güvenirler, kullanışlılık) </w:t>
                  </w:r>
                </w:p>
                <w:p w14:paraId="5BC8EF2E" w14:textId="26CE1ED4" w:rsidR="00AE2FFC" w:rsidRDefault="00AE2FFC" w:rsidP="008F0EB6">
                  <w:pPr>
                    <w:tabs>
                      <w:tab w:val="left" w:pos="1493"/>
                    </w:tabs>
                    <w:jc w:val="both"/>
                  </w:pP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3D80158E" w14:textId="77777777" w:rsidR="008F0EB6" w:rsidRPr="008F0EB6" w:rsidRDefault="008F0EB6" w:rsidP="008F0EB6">
                  <w:pPr>
                    <w:jc w:val="both"/>
                  </w:pPr>
                  <w:r w:rsidRPr="008F0EB6">
                    <w:t xml:space="preserve">Güvenirlik ve güvenirlik hesaplama yöntemleri </w:t>
                  </w:r>
                </w:p>
                <w:p w14:paraId="09985514" w14:textId="77777777" w:rsidR="00AE2FFC" w:rsidRDefault="00AE2FFC" w:rsidP="00AE2FFC">
                  <w:pPr>
                    <w:jc w:val="both"/>
                  </w:pP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6778283F" w14:textId="1A92527F" w:rsidR="008F0EB6" w:rsidRPr="008F0EB6" w:rsidRDefault="008F0EB6" w:rsidP="008F0EB6">
                  <w:pPr>
                    <w:tabs>
                      <w:tab w:val="left" w:pos="1054"/>
                    </w:tabs>
                    <w:jc w:val="both"/>
                  </w:pPr>
                  <w:r w:rsidRPr="008F0EB6">
                    <w:t xml:space="preserve">Geçerlik ve geçerlik hesaplamaları </w:t>
                  </w:r>
                </w:p>
                <w:p w14:paraId="0AAB2B71" w14:textId="07ACE2D7" w:rsidR="00AE2FFC" w:rsidRDefault="00AE2FFC" w:rsidP="008F0EB6">
                  <w:pPr>
                    <w:tabs>
                      <w:tab w:val="left" w:pos="1054"/>
                    </w:tabs>
                    <w:jc w:val="both"/>
                  </w:pP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75E79D07" w14:textId="77777777" w:rsidR="008F0EB6" w:rsidRPr="008F0EB6" w:rsidRDefault="008F0EB6" w:rsidP="008F0EB6">
                  <w:pPr>
                    <w:jc w:val="both"/>
                  </w:pPr>
                  <w:r w:rsidRPr="008F0EB6">
                    <w:t xml:space="preserve">Eğitimde kullanılan ölçme araçları </w:t>
                  </w:r>
                </w:p>
                <w:p w14:paraId="6F03E33F" w14:textId="77777777" w:rsidR="00AE2FFC" w:rsidRDefault="00AE2FFC" w:rsidP="00AE2FFC">
                  <w:pPr>
                    <w:jc w:val="both"/>
                  </w:pP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0DFB2FD6" w14:textId="77777777" w:rsidR="008F0EB6" w:rsidRPr="008F0EB6" w:rsidRDefault="008F0EB6" w:rsidP="008F0EB6">
                  <w:pPr>
                    <w:jc w:val="both"/>
                  </w:pPr>
                  <w:r w:rsidRPr="008F0EB6">
                    <w:t xml:space="preserve">Eğitimde kullanılan ölçme araçları </w:t>
                  </w:r>
                </w:p>
                <w:p w14:paraId="5AEE0458" w14:textId="77777777" w:rsidR="00AE2FFC" w:rsidRDefault="00AE2FFC" w:rsidP="00AE2FFC">
                  <w:pPr>
                    <w:jc w:val="both"/>
                  </w:pP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1A42E74B" w14:textId="77777777" w:rsidR="008F0EB6" w:rsidRPr="008F0EB6" w:rsidRDefault="008F0EB6" w:rsidP="008F0EB6">
                  <w:pPr>
                    <w:jc w:val="both"/>
                  </w:pPr>
                  <w:r w:rsidRPr="008F0EB6">
                    <w:t xml:space="preserve">Test puanlarının analizi (Ölçme ve değerlendirmede istatistiksel yöntemler: Betimleyici istatistikler) </w:t>
                  </w:r>
                </w:p>
                <w:p w14:paraId="210EAAF7" w14:textId="77777777" w:rsidR="00AE2FFC" w:rsidRDefault="00AE2FFC" w:rsidP="00AE2FFC">
                  <w:pPr>
                    <w:jc w:val="both"/>
                  </w:pP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5C659A4D" w14:textId="77777777" w:rsidR="008F0EB6" w:rsidRPr="008F0EB6" w:rsidRDefault="008F0EB6" w:rsidP="008F0EB6">
                  <w:pPr>
                    <w:jc w:val="both"/>
                  </w:pPr>
                  <w:r w:rsidRPr="008F0EB6">
                    <w:t xml:space="preserve">Test puanlarının analizi (Ölçme ve değerlendirmede istatistiksel yöntemler: Betimleyici istatistikler) </w:t>
                  </w:r>
                </w:p>
                <w:p w14:paraId="189E2E96" w14:textId="77777777" w:rsidR="00AE2FFC" w:rsidRDefault="00AE2FFC" w:rsidP="00AE2FFC">
                  <w:pPr>
                    <w:jc w:val="both"/>
                  </w:pP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318B2059" w:rsidR="00AE2FFC" w:rsidRDefault="008F0EB6" w:rsidP="00AE2FFC">
                  <w:pPr>
                    <w:jc w:val="both"/>
                  </w:pPr>
                  <w:r>
                    <w:t>Madde Analizi</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54DFD51A" w14:textId="77777777" w:rsidR="008F0EB6" w:rsidRPr="008F0EB6" w:rsidRDefault="008F0EB6" w:rsidP="008F0EB6">
                  <w:pPr>
                    <w:jc w:val="both"/>
                  </w:pPr>
                  <w:r w:rsidRPr="008F0EB6">
                    <w:t xml:space="preserve">Test puanlarının yorumlanması ve not verme </w:t>
                  </w:r>
                </w:p>
                <w:p w14:paraId="2A6872BF" w14:textId="77777777" w:rsidR="00AE2FFC" w:rsidRDefault="00AE2FFC" w:rsidP="00AE2FFC">
                  <w:pPr>
                    <w:jc w:val="both"/>
                  </w:pP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1FC37802" w:rsidR="00AE2FFC" w:rsidRDefault="008F0EB6"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8DF9A4D" w:rsidR="007F634E" w:rsidRPr="00226CD7" w:rsidRDefault="008F0EB6" w:rsidP="007F634E">
                  <w:pPr>
                    <w:rPr>
                      <w:rFonts w:ascii="Calibri" w:hAnsi="Calibri" w:cs="Calibri"/>
                      <w:sz w:val="20"/>
                      <w:szCs w:val="20"/>
                    </w:rPr>
                  </w:pPr>
                  <w:r>
                    <w:rPr>
                      <w:rFonts w:ascii="Calibri" w:hAnsi="Calibri" w:cs="Calibri"/>
                      <w:sz w:val="20"/>
                      <w:szCs w:val="20"/>
                    </w:rPr>
                    <w:t>1</w:t>
                  </w:r>
                </w:p>
              </w:tc>
              <w:tc>
                <w:tcPr>
                  <w:tcW w:w="3020" w:type="dxa"/>
                </w:tcPr>
                <w:p w14:paraId="3C35A695" w14:textId="05374D4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F0EB6">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52F50F1" w:rsidR="007F634E" w:rsidRPr="00226CD7" w:rsidRDefault="008F0EB6" w:rsidP="007F634E">
                  <w:pPr>
                    <w:rPr>
                      <w:rFonts w:ascii="Calibri" w:hAnsi="Calibri" w:cs="Calibri"/>
                      <w:sz w:val="20"/>
                      <w:szCs w:val="20"/>
                    </w:rPr>
                  </w:pPr>
                  <w:r>
                    <w:rPr>
                      <w:rFonts w:ascii="Calibri" w:hAnsi="Calibri" w:cs="Calibri"/>
                      <w:sz w:val="20"/>
                      <w:szCs w:val="20"/>
                    </w:rPr>
                    <w:t>0</w:t>
                  </w:r>
                </w:p>
              </w:tc>
              <w:tc>
                <w:tcPr>
                  <w:tcW w:w="3020" w:type="dxa"/>
                </w:tcPr>
                <w:p w14:paraId="6048D0B2" w14:textId="359C208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F0EB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34106A5" w:rsidR="007F634E" w:rsidRPr="00226CD7" w:rsidRDefault="008F0EB6" w:rsidP="007F634E">
                  <w:pPr>
                    <w:rPr>
                      <w:rFonts w:ascii="Calibri" w:hAnsi="Calibri" w:cs="Calibri"/>
                      <w:sz w:val="20"/>
                      <w:szCs w:val="20"/>
                    </w:rPr>
                  </w:pPr>
                  <w:r>
                    <w:rPr>
                      <w:rFonts w:ascii="Calibri" w:hAnsi="Calibri" w:cs="Calibri"/>
                      <w:sz w:val="20"/>
                      <w:szCs w:val="20"/>
                    </w:rPr>
                    <w:t>0</w:t>
                  </w:r>
                </w:p>
              </w:tc>
              <w:tc>
                <w:tcPr>
                  <w:tcW w:w="3020" w:type="dxa"/>
                </w:tcPr>
                <w:p w14:paraId="50477F83" w14:textId="41992B1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F0EB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10A89A4C" w:rsidR="007F634E" w:rsidRPr="00226CD7" w:rsidRDefault="008F0EB6" w:rsidP="007F634E">
                  <w:pPr>
                    <w:rPr>
                      <w:rFonts w:ascii="Calibri" w:hAnsi="Calibri" w:cs="Calibri"/>
                      <w:sz w:val="20"/>
                      <w:szCs w:val="20"/>
                    </w:rPr>
                  </w:pPr>
                  <w:r>
                    <w:rPr>
                      <w:rFonts w:ascii="Calibri" w:hAnsi="Calibri" w:cs="Calibri"/>
                      <w:sz w:val="20"/>
                      <w:szCs w:val="20"/>
                    </w:rPr>
                    <w:t>0</w:t>
                  </w:r>
                </w:p>
              </w:tc>
              <w:tc>
                <w:tcPr>
                  <w:tcW w:w="3020" w:type="dxa"/>
                </w:tcPr>
                <w:p w14:paraId="3C956288" w14:textId="2C1807B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F0EB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F340B7C" w:rsidR="007F634E" w:rsidRPr="00226CD7" w:rsidRDefault="008F0EB6" w:rsidP="007F634E">
                  <w:pPr>
                    <w:rPr>
                      <w:rFonts w:ascii="Calibri" w:hAnsi="Calibri" w:cs="Calibri"/>
                      <w:sz w:val="20"/>
                      <w:szCs w:val="20"/>
                    </w:rPr>
                  </w:pPr>
                  <w:r>
                    <w:rPr>
                      <w:rFonts w:ascii="Calibri" w:hAnsi="Calibri" w:cs="Calibri"/>
                      <w:sz w:val="20"/>
                      <w:szCs w:val="20"/>
                    </w:rPr>
                    <w:t>0</w:t>
                  </w:r>
                </w:p>
              </w:tc>
              <w:tc>
                <w:tcPr>
                  <w:tcW w:w="3020" w:type="dxa"/>
                </w:tcPr>
                <w:p w14:paraId="237210E5" w14:textId="30EC23C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F0EB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AA95E86" w:rsidR="007F634E" w:rsidRPr="00226CD7" w:rsidRDefault="008F0EB6" w:rsidP="007F634E">
                  <w:pPr>
                    <w:rPr>
                      <w:rFonts w:ascii="Calibri" w:hAnsi="Calibri" w:cs="Calibri"/>
                      <w:sz w:val="20"/>
                      <w:szCs w:val="20"/>
                    </w:rPr>
                  </w:pPr>
                  <w:r>
                    <w:rPr>
                      <w:rFonts w:ascii="Calibri" w:hAnsi="Calibri" w:cs="Calibri"/>
                      <w:sz w:val="20"/>
                      <w:szCs w:val="20"/>
                    </w:rPr>
                    <w:t>0</w:t>
                  </w:r>
                </w:p>
              </w:tc>
              <w:tc>
                <w:tcPr>
                  <w:tcW w:w="3020" w:type="dxa"/>
                </w:tcPr>
                <w:p w14:paraId="51D69B6B" w14:textId="6E25B3F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F0EB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lastRenderedPageBreak/>
                    <w:t>Yarıyıl Sonu Sınavı</w:t>
                  </w:r>
                </w:p>
              </w:tc>
              <w:tc>
                <w:tcPr>
                  <w:tcW w:w="3019" w:type="dxa"/>
                </w:tcPr>
                <w:p w14:paraId="4CCD8D75" w14:textId="4E9C29A6" w:rsidR="007F634E" w:rsidRPr="00226CD7" w:rsidRDefault="008F0EB6" w:rsidP="007F634E">
                  <w:pPr>
                    <w:rPr>
                      <w:rFonts w:ascii="Calibri" w:hAnsi="Calibri" w:cs="Calibri"/>
                      <w:sz w:val="20"/>
                      <w:szCs w:val="20"/>
                    </w:rPr>
                  </w:pPr>
                  <w:r>
                    <w:rPr>
                      <w:rFonts w:ascii="Calibri" w:hAnsi="Calibri" w:cs="Calibri"/>
                      <w:sz w:val="20"/>
                      <w:szCs w:val="20"/>
                    </w:rPr>
                    <w:t>1</w:t>
                  </w:r>
                </w:p>
              </w:tc>
              <w:tc>
                <w:tcPr>
                  <w:tcW w:w="3020" w:type="dxa"/>
                </w:tcPr>
                <w:p w14:paraId="04B895A7" w14:textId="5685CCAB" w:rsidR="007F634E" w:rsidRPr="00226CD7" w:rsidRDefault="007F634E" w:rsidP="007F634E">
                  <w:pPr>
                    <w:rPr>
                      <w:rFonts w:ascii="Calibri" w:hAnsi="Calibri" w:cs="Calibri"/>
                      <w:sz w:val="20"/>
                      <w:szCs w:val="20"/>
                    </w:rPr>
                  </w:pPr>
                  <w:r>
                    <w:rPr>
                      <w:rFonts w:ascii="Calibri" w:hAnsi="Calibri" w:cs="Calibri"/>
                      <w:sz w:val="20"/>
                      <w:szCs w:val="20"/>
                    </w:rPr>
                    <w:t>%</w:t>
                  </w:r>
                  <w:r w:rsidR="008F0EB6">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57F69F98" w:rsidR="007F634E" w:rsidRPr="00226CD7" w:rsidRDefault="008F0EB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lastRenderedPageBreak/>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7FE"/>
    <w:multiLevelType w:val="multilevel"/>
    <w:tmpl w:val="3490D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7764B"/>
    <w:multiLevelType w:val="multilevel"/>
    <w:tmpl w:val="BD24A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932977"/>
    <w:multiLevelType w:val="multilevel"/>
    <w:tmpl w:val="063A60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FB3ED1"/>
    <w:multiLevelType w:val="multilevel"/>
    <w:tmpl w:val="24CE4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BB6C43"/>
    <w:multiLevelType w:val="multilevel"/>
    <w:tmpl w:val="0BA2A4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1E3FBE"/>
    <w:multiLevelType w:val="multilevel"/>
    <w:tmpl w:val="3062AE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FB1E53"/>
    <w:multiLevelType w:val="multilevel"/>
    <w:tmpl w:val="016A76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E33BE2"/>
    <w:multiLevelType w:val="multilevel"/>
    <w:tmpl w:val="217E47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EE3D6E"/>
    <w:multiLevelType w:val="multilevel"/>
    <w:tmpl w:val="D47E7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171B4F"/>
    <w:multiLevelType w:val="multilevel"/>
    <w:tmpl w:val="B98CE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A10E9A"/>
    <w:multiLevelType w:val="multilevel"/>
    <w:tmpl w:val="D7FA1B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672900">
    <w:abstractNumId w:val="3"/>
  </w:num>
  <w:num w:numId="2" w16cid:durableId="753013402">
    <w:abstractNumId w:val="0"/>
  </w:num>
  <w:num w:numId="3" w16cid:durableId="1391801655">
    <w:abstractNumId w:val="9"/>
  </w:num>
  <w:num w:numId="4" w16cid:durableId="481889199">
    <w:abstractNumId w:val="8"/>
  </w:num>
  <w:num w:numId="5" w16cid:durableId="977417297">
    <w:abstractNumId w:val="1"/>
  </w:num>
  <w:num w:numId="6" w16cid:durableId="1938706800">
    <w:abstractNumId w:val="4"/>
  </w:num>
  <w:num w:numId="7" w16cid:durableId="1631933027">
    <w:abstractNumId w:val="7"/>
  </w:num>
  <w:num w:numId="8" w16cid:durableId="295379612">
    <w:abstractNumId w:val="6"/>
  </w:num>
  <w:num w:numId="9" w16cid:durableId="1209756757">
    <w:abstractNumId w:val="10"/>
  </w:num>
  <w:num w:numId="10" w16cid:durableId="66728863">
    <w:abstractNumId w:val="2"/>
  </w:num>
  <w:num w:numId="11" w16cid:durableId="1505317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13B4B"/>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93015"/>
    <w:rsid w:val="007B4B6E"/>
    <w:rsid w:val="007C3723"/>
    <w:rsid w:val="007F5803"/>
    <w:rsid w:val="007F634E"/>
    <w:rsid w:val="00812CCA"/>
    <w:rsid w:val="0083602A"/>
    <w:rsid w:val="008572D7"/>
    <w:rsid w:val="00867237"/>
    <w:rsid w:val="00871F5E"/>
    <w:rsid w:val="00884D36"/>
    <w:rsid w:val="008B015F"/>
    <w:rsid w:val="008B7E4A"/>
    <w:rsid w:val="008C2FEF"/>
    <w:rsid w:val="008F0EB6"/>
    <w:rsid w:val="008F5B0A"/>
    <w:rsid w:val="00930CF8"/>
    <w:rsid w:val="00930D25"/>
    <w:rsid w:val="009341D6"/>
    <w:rsid w:val="0095231C"/>
    <w:rsid w:val="00974855"/>
    <w:rsid w:val="009B50FD"/>
    <w:rsid w:val="00A07762"/>
    <w:rsid w:val="00A27A75"/>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EE3952"/>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F0E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3809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6</cp:revision>
  <dcterms:created xsi:type="dcterms:W3CDTF">2025-11-06T12:23:00Z</dcterms:created>
  <dcterms:modified xsi:type="dcterms:W3CDTF">2025-11-08T19:12:00Z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