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3B91DB7E"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CE0C59">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4AE39BC2" w:rsidR="00E325D4" w:rsidRPr="002E6734" w:rsidRDefault="002D0CC2" w:rsidP="00464A63">
            <w:pPr>
              <w:pStyle w:val="TableParagraph"/>
              <w:ind w:left="62" w:right="47"/>
              <w:jc w:val="center"/>
              <w:rPr>
                <w:sz w:val="20"/>
                <w:lang w:val="en-US"/>
              </w:rPr>
            </w:pPr>
            <w:r>
              <w:rPr>
                <w:sz w:val="20"/>
                <w:lang w:val="en-US"/>
              </w:rPr>
              <w:t>INRE 329</w:t>
            </w:r>
          </w:p>
        </w:tc>
        <w:tc>
          <w:tcPr>
            <w:tcW w:w="2589" w:type="dxa"/>
          </w:tcPr>
          <w:p w14:paraId="60A39DE8" w14:textId="7FEDB1C2" w:rsidR="002D0CC2" w:rsidRDefault="002D0CC2" w:rsidP="002D0CC2">
            <w:pPr>
              <w:pStyle w:val="TableParagraph"/>
              <w:jc w:val="center"/>
              <w:rPr>
                <w:sz w:val="20"/>
                <w:lang w:val="en-US"/>
              </w:rPr>
            </w:pPr>
            <w:r>
              <w:rPr>
                <w:sz w:val="20"/>
                <w:lang w:val="en-US"/>
              </w:rPr>
              <w:t>Popular Culture</w:t>
            </w:r>
          </w:p>
          <w:p w14:paraId="31FE63B0" w14:textId="77777777" w:rsidR="002D0CC2" w:rsidRDefault="002D0CC2" w:rsidP="00464A63">
            <w:pPr>
              <w:pStyle w:val="TableParagraph"/>
              <w:ind w:left="14"/>
              <w:jc w:val="center"/>
              <w:rPr>
                <w:sz w:val="20"/>
                <w:lang w:val="en-US"/>
              </w:rPr>
            </w:pPr>
            <w:r>
              <w:rPr>
                <w:sz w:val="20"/>
                <w:lang w:val="en-US"/>
              </w:rPr>
              <w:t xml:space="preserve">and </w:t>
            </w:r>
          </w:p>
          <w:p w14:paraId="41C4888C" w14:textId="5CC94F91" w:rsidR="00E325D4" w:rsidRPr="002E6734" w:rsidRDefault="002D0CC2" w:rsidP="00464A63">
            <w:pPr>
              <w:pStyle w:val="TableParagraph"/>
              <w:ind w:left="14"/>
              <w:jc w:val="center"/>
              <w:rPr>
                <w:sz w:val="20"/>
                <w:lang w:val="en-US"/>
              </w:rPr>
            </w:pPr>
            <w:r>
              <w:rPr>
                <w:sz w:val="20"/>
                <w:lang w:val="en-US"/>
              </w:rPr>
              <w:t>International Relations</w:t>
            </w:r>
          </w:p>
        </w:tc>
        <w:tc>
          <w:tcPr>
            <w:tcW w:w="1276" w:type="dxa"/>
            <w:vAlign w:val="center"/>
          </w:tcPr>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01FDB91A" w:rsidR="00E325D4" w:rsidRPr="002E6734" w:rsidRDefault="00E325D4" w:rsidP="00464A63">
            <w:pPr>
              <w:pStyle w:val="TableParagraph"/>
              <w:spacing w:before="16"/>
              <w:jc w:val="center"/>
              <w:rPr>
                <w:rFonts w:ascii="Times New Roman"/>
                <w:sz w:val="20"/>
                <w:lang w:val="en-US"/>
              </w:rPr>
            </w:pPr>
          </w:p>
          <w:p w14:paraId="66BD4582" w14:textId="7DB2D6D6" w:rsidR="00E325D4" w:rsidRPr="002E6734" w:rsidRDefault="00CE0C59"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74449AE7" w:rsidR="00E325D4" w:rsidRPr="002E6734" w:rsidRDefault="00CE0C59" w:rsidP="00464A63">
            <w:pPr>
              <w:pStyle w:val="TableParagraph"/>
              <w:ind w:left="14"/>
              <w:jc w:val="center"/>
              <w:rPr>
                <w:sz w:val="20"/>
                <w:lang w:val="en-US"/>
              </w:rPr>
            </w:pPr>
            <w:r>
              <w:rPr>
                <w:sz w:val="20"/>
                <w:lang w:val="en-US"/>
              </w:rPr>
              <w:t>-</w:t>
            </w:r>
          </w:p>
        </w:tc>
        <w:tc>
          <w:tcPr>
            <w:tcW w:w="1852" w:type="dxa"/>
            <w:vAlign w:val="center"/>
          </w:tcPr>
          <w:p w14:paraId="6E69D48B" w14:textId="2D1FB1A0" w:rsidR="00E325D4" w:rsidRPr="002E6734" w:rsidRDefault="00CE0C59" w:rsidP="00464A63">
            <w:pPr>
              <w:pStyle w:val="TableParagraph"/>
              <w:jc w:val="center"/>
              <w:rPr>
                <w:sz w:val="20"/>
                <w:lang w:val="en-US"/>
              </w:rPr>
            </w:pPr>
            <w:r>
              <w:rPr>
                <w:sz w:val="20"/>
                <w:lang w:val="en-US"/>
              </w:rPr>
              <w:t>09.09.2025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6E69144E" w:rsidR="000441DB" w:rsidRPr="002E6734" w:rsidRDefault="00CE0C59" w:rsidP="001746AA">
            <w:pPr>
              <w:pStyle w:val="TableParagraph"/>
              <w:jc w:val="both"/>
              <w:rPr>
                <w:sz w:val="20"/>
                <w:lang w:val="en-US"/>
              </w:rPr>
            </w:pPr>
            <w:r>
              <w:rPr>
                <w:sz w:val="20"/>
                <w:lang w:val="en-US"/>
              </w:rPr>
              <w:t xml:space="preserve"> Dr. Süleyman Buğrahan Bayram &amp; sbbayram@aybu.edu.tr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F3235BE" w:rsidR="00EF389B" w:rsidRPr="002E6734" w:rsidRDefault="00EF389B" w:rsidP="00EF389B">
            <w:pPr>
              <w:pStyle w:val="TableParagraph"/>
              <w:jc w:val="both"/>
              <w:rPr>
                <w:sz w:val="20"/>
                <w:lang w:val="en-US"/>
              </w:rPr>
            </w:pPr>
            <w:r w:rsidRPr="002E6734">
              <w:rPr>
                <w:sz w:val="20"/>
                <w:lang w:val="en-US"/>
              </w:rPr>
              <w:t xml:space="preserve">   </w:t>
            </w:r>
            <w:r w:rsidR="00CE0C59">
              <w:rPr>
                <w:sz w:val="20"/>
                <w:lang w:val="en-US"/>
              </w:rPr>
              <w:t>Thursday, 10.00-12.00 / Friday, 10.00-12.00</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34A24FE7" w14:textId="77777777" w:rsidR="002D0CC2" w:rsidRDefault="002D0CC2" w:rsidP="002D0CC2">
            <w:pPr>
              <w:pStyle w:val="TableParagraph"/>
              <w:spacing w:before="54"/>
              <w:rPr>
                <w:sz w:val="20"/>
                <w:lang w:val="en-US"/>
              </w:rPr>
            </w:pPr>
            <w:r w:rsidRPr="002D0CC2">
              <w:rPr>
                <w:sz w:val="20"/>
                <w:lang w:val="en-US"/>
              </w:rPr>
              <w:t>This course introduces popular culture as a site for analyzing and understanding international relations. It draws on literary works, films, and games as tools to reinforce participants’ comprehension of key IR themes. In this way, participants will have the opportunity to develop the habit of recognizing how international phenomena are represented in popular culture and of interpreting cultural material through an IR lens.</w:t>
            </w:r>
          </w:p>
          <w:p w14:paraId="413F8BE2" w14:textId="351F63FD" w:rsidR="00EF389B" w:rsidRPr="002D0CC2" w:rsidRDefault="002D0CC2" w:rsidP="002D0CC2">
            <w:pPr>
              <w:pStyle w:val="TableParagraph"/>
              <w:spacing w:before="54"/>
              <w:rPr>
                <w:sz w:val="20"/>
                <w:lang w:val="en-US"/>
              </w:rPr>
            </w:pPr>
            <w:r>
              <w:rPr>
                <w:sz w:val="20"/>
                <w:lang w:val="en-US"/>
              </w:rPr>
              <w:t>In this way, the course aims</w:t>
            </w:r>
            <w:r w:rsidRPr="002D0CC2">
              <w:rPr>
                <w:sz w:val="20"/>
                <w:lang w:val="en-US"/>
              </w:rPr>
              <w:t xml:space="preserve"> to present popular culture as a tool for analyzing and understanding international relations, to deepen participants’ understanding of key IR debates, and to equip them with the ability to interpret cultural products from an IR perspective.</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70A051D6" w:rsidR="00EF389B" w:rsidRPr="002E6734" w:rsidRDefault="002B3EE9" w:rsidP="00EF389B">
            <w:pPr>
              <w:pStyle w:val="TableParagraph"/>
              <w:spacing w:before="140"/>
              <w:jc w:val="both"/>
              <w:rPr>
                <w:iCs/>
                <w:sz w:val="20"/>
                <w:lang w:val="en-US"/>
              </w:rPr>
            </w:pPr>
            <w:r>
              <w:rPr>
                <w:iCs/>
                <w:sz w:val="20"/>
                <w:lang w:val="en-US"/>
              </w:rPr>
              <w:t xml:space="preserve">The course does not follow a standalone textbook. </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4ABB1CA" w:rsidR="00EF389B" w:rsidRPr="002E6734" w:rsidRDefault="002D0CC2" w:rsidP="00EF389B">
            <w:pPr>
              <w:pStyle w:val="TableParagraph"/>
              <w:spacing w:before="159"/>
              <w:ind w:left="110"/>
              <w:jc w:val="both"/>
              <w:rPr>
                <w:sz w:val="20"/>
                <w:lang w:val="en-US"/>
              </w:rPr>
            </w:pPr>
            <w:r w:rsidRPr="002D0CC2">
              <w:rPr>
                <w:sz w:val="20"/>
                <w:lang w:val="en-US"/>
              </w:rPr>
              <w:t xml:space="preserve">This course is based on lectures, in-class </w:t>
            </w:r>
            <w:proofErr w:type="gramStart"/>
            <w:r w:rsidRPr="002D0CC2">
              <w:rPr>
                <w:sz w:val="20"/>
                <w:lang w:val="en-US"/>
              </w:rPr>
              <w:t>debates,  quizzes</w:t>
            </w:r>
            <w:proofErr w:type="gramEnd"/>
            <w:r w:rsidRPr="002D0CC2">
              <w:rPr>
                <w:sz w:val="20"/>
                <w:lang w:val="en-US"/>
              </w:rPr>
              <w:t xml:space="preserve"> and</w:t>
            </w:r>
            <w:r>
              <w:rPr>
                <w:sz w:val="20"/>
                <w:lang w:val="en-US"/>
              </w:rPr>
              <w:t xml:space="preserve"> a</w:t>
            </w:r>
            <w:r w:rsidRPr="002D0CC2">
              <w:rPr>
                <w:sz w:val="20"/>
                <w:lang w:val="en-US"/>
              </w:rPr>
              <w:t xml:space="preserve"> </w:t>
            </w:r>
            <w:r>
              <w:rPr>
                <w:sz w:val="20"/>
                <w:lang w:val="en-US"/>
              </w:rPr>
              <w:t>conventional</w:t>
            </w:r>
            <w:r w:rsidRPr="002D0CC2">
              <w:rPr>
                <w:sz w:val="20"/>
                <w:lang w:val="en-US"/>
              </w:rPr>
              <w:t xml:space="preserve"> final exam.</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6AB06482" w:rsidR="00731977" w:rsidRPr="00E01395" w:rsidRDefault="00E01395" w:rsidP="00731977">
                  <w:pPr>
                    <w:jc w:val="both"/>
                    <w:rPr>
                      <w:rFonts w:ascii="Carlito" w:hAnsi="Carlito"/>
                      <w:sz w:val="20"/>
                      <w:szCs w:val="20"/>
                      <w:lang w:val="en-US"/>
                    </w:rPr>
                  </w:pPr>
                  <w:r w:rsidRPr="00E01395">
                    <w:rPr>
                      <w:rFonts w:ascii="Carlito" w:hAnsi="Carlito"/>
                      <w:sz w:val="20"/>
                      <w:szCs w:val="20"/>
                      <w:lang w:val="en-US"/>
                    </w:rPr>
                    <w:t>To explore the representations of international politics in media and literature</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2A0D1D27"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understand</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the</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soft</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power</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aspect</w:t>
                  </w:r>
                  <w:proofErr w:type="spellEnd"/>
                  <w:r w:rsidRPr="00E01395">
                    <w:rPr>
                      <w:rFonts w:ascii="Carlito" w:hAnsi="Carlito" w:cs="Tahoma"/>
                      <w:color w:val="3B3A36"/>
                      <w:sz w:val="20"/>
                      <w:szCs w:val="20"/>
                      <w:shd w:val="clear" w:color="auto" w:fill="FFFFFF"/>
                    </w:rPr>
                    <w:t xml:space="preserve"> of popular </w:t>
                  </w:r>
                  <w:proofErr w:type="spellStart"/>
                  <w:r w:rsidRPr="00E01395">
                    <w:rPr>
                      <w:rFonts w:ascii="Carlito" w:hAnsi="Carlito" w:cs="Tahoma"/>
                      <w:color w:val="3B3A36"/>
                      <w:sz w:val="20"/>
                      <w:szCs w:val="20"/>
                      <w:shd w:val="clear" w:color="auto" w:fill="FFFFFF"/>
                    </w:rPr>
                    <w:t>culture</w:t>
                  </w:r>
                  <w:proofErr w:type="spellEnd"/>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34D62748"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learn</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about</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the</w:t>
                  </w:r>
                  <w:proofErr w:type="spellEnd"/>
                  <w:r w:rsidRPr="00E01395">
                    <w:rPr>
                      <w:rFonts w:ascii="Carlito" w:hAnsi="Carlito" w:cs="Tahoma"/>
                      <w:color w:val="3B3A36"/>
                      <w:sz w:val="20"/>
                      <w:szCs w:val="20"/>
                      <w:shd w:val="clear" w:color="auto" w:fill="FFFFFF"/>
                    </w:rPr>
                    <w:t xml:space="preserve"> role of popular </w:t>
                  </w:r>
                  <w:proofErr w:type="spellStart"/>
                  <w:r w:rsidRPr="00E01395">
                    <w:rPr>
                      <w:rFonts w:ascii="Carlito" w:hAnsi="Carlito" w:cs="Tahoma"/>
                      <w:color w:val="3B3A36"/>
                      <w:sz w:val="20"/>
                      <w:szCs w:val="20"/>
                      <w:shd w:val="clear" w:color="auto" w:fill="FFFFFF"/>
                    </w:rPr>
                    <w:t>culture</w:t>
                  </w:r>
                  <w:proofErr w:type="spellEnd"/>
                  <w:r w:rsidRPr="00E01395">
                    <w:rPr>
                      <w:rFonts w:ascii="Carlito" w:hAnsi="Carlito" w:cs="Tahoma"/>
                      <w:color w:val="3B3A36"/>
                      <w:sz w:val="20"/>
                      <w:szCs w:val="20"/>
                      <w:shd w:val="clear" w:color="auto" w:fill="FFFFFF"/>
                    </w:rPr>
                    <w:t xml:space="preserve"> in </w:t>
                  </w:r>
                  <w:proofErr w:type="spellStart"/>
                  <w:r w:rsidRPr="00E01395">
                    <w:rPr>
                      <w:rFonts w:ascii="Carlito" w:hAnsi="Carlito" w:cs="Tahoma"/>
                      <w:color w:val="3B3A36"/>
                      <w:sz w:val="20"/>
                      <w:szCs w:val="20"/>
                      <w:shd w:val="clear" w:color="auto" w:fill="FFFFFF"/>
                    </w:rPr>
                    <w:t>formation</w:t>
                  </w:r>
                  <w:proofErr w:type="spellEnd"/>
                  <w:r w:rsidRPr="00E01395">
                    <w:rPr>
                      <w:rFonts w:ascii="Carlito" w:hAnsi="Carlito" w:cs="Tahoma"/>
                      <w:color w:val="3B3A36"/>
                      <w:sz w:val="20"/>
                      <w:szCs w:val="20"/>
                      <w:shd w:val="clear" w:color="auto" w:fill="FFFFFF"/>
                    </w:rPr>
                    <w:t xml:space="preserve"> of </w:t>
                  </w:r>
                  <w:proofErr w:type="spellStart"/>
                  <w:r w:rsidRPr="00E01395">
                    <w:rPr>
                      <w:rFonts w:ascii="Carlito" w:hAnsi="Carlito" w:cs="Tahoma"/>
                      <w:color w:val="3B3A36"/>
                      <w:sz w:val="20"/>
                      <w:szCs w:val="20"/>
                      <w:shd w:val="clear" w:color="auto" w:fill="FFFFFF"/>
                    </w:rPr>
                    <w:t>national</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and</w:t>
                  </w:r>
                  <w:proofErr w:type="spellEnd"/>
                  <w:r w:rsidRPr="00E01395">
                    <w:rPr>
                      <w:rFonts w:ascii="Carlito" w:hAnsi="Carlito" w:cs="Tahoma"/>
                      <w:color w:val="3B3A36"/>
                      <w:sz w:val="20"/>
                      <w:szCs w:val="20"/>
                      <w:shd w:val="clear" w:color="auto" w:fill="FFFFFF"/>
                    </w:rPr>
                    <w:t xml:space="preserve"> global </w:t>
                  </w:r>
                  <w:proofErr w:type="spellStart"/>
                  <w:r w:rsidRPr="00E01395">
                    <w:rPr>
                      <w:rFonts w:ascii="Carlito" w:hAnsi="Carlito" w:cs="Tahoma"/>
                      <w:color w:val="3B3A36"/>
                      <w:sz w:val="20"/>
                      <w:szCs w:val="20"/>
                      <w:shd w:val="clear" w:color="auto" w:fill="FFFFFF"/>
                    </w:rPr>
                    <w:t>identities</w:t>
                  </w:r>
                  <w:proofErr w:type="spellEnd"/>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1A2BE64F"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gain</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knowledge</w:t>
                  </w:r>
                  <w:proofErr w:type="spellEnd"/>
                  <w:r w:rsidRPr="00E01395">
                    <w:rPr>
                      <w:rFonts w:ascii="Carlito" w:hAnsi="Carlito" w:cs="Tahoma"/>
                      <w:color w:val="3B3A36"/>
                      <w:sz w:val="20"/>
                      <w:szCs w:val="20"/>
                      <w:shd w:val="clear" w:color="auto" w:fill="FFFFFF"/>
                    </w:rPr>
                    <w:t xml:space="preserve"> of </w:t>
                  </w:r>
                  <w:proofErr w:type="spellStart"/>
                  <w:r w:rsidRPr="00E01395">
                    <w:rPr>
                      <w:rFonts w:ascii="Carlito" w:hAnsi="Carlito" w:cs="Tahoma"/>
                      <w:color w:val="3B3A36"/>
                      <w:sz w:val="20"/>
                      <w:szCs w:val="20"/>
                      <w:shd w:val="clear" w:color="auto" w:fill="FFFFFF"/>
                    </w:rPr>
                    <w:t>multidisciplinary</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approaches</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and</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methods</w:t>
                  </w:r>
                  <w:proofErr w:type="spellEnd"/>
                  <w:r w:rsidRPr="00E01395">
                    <w:rPr>
                      <w:rFonts w:ascii="Carlito" w:hAnsi="Carlito" w:cs="Tahoma"/>
                      <w:color w:val="3B3A36"/>
                      <w:sz w:val="20"/>
                      <w:szCs w:val="20"/>
                      <w:shd w:val="clear" w:color="auto" w:fill="FFFFFF"/>
                    </w:rPr>
                    <w:t xml:space="preserve"> in International </w:t>
                  </w:r>
                  <w:proofErr w:type="spellStart"/>
                  <w:r w:rsidRPr="00E01395">
                    <w:rPr>
                      <w:rFonts w:ascii="Carlito" w:hAnsi="Carlito" w:cs="Tahoma"/>
                      <w:color w:val="3B3A36"/>
                      <w:sz w:val="20"/>
                      <w:szCs w:val="20"/>
                      <w:shd w:val="clear" w:color="auto" w:fill="FFFFFF"/>
                    </w:rPr>
                    <w:t>Relations</w:t>
                  </w:r>
                  <w:proofErr w:type="spellEnd"/>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005A9A4F"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approach</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cultural</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products</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critically</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from</w:t>
                  </w:r>
                  <w:proofErr w:type="spellEnd"/>
                  <w:r w:rsidRPr="00E01395">
                    <w:rPr>
                      <w:rFonts w:ascii="Carlito" w:hAnsi="Carlito" w:cs="Tahoma"/>
                      <w:color w:val="3B3A36"/>
                      <w:sz w:val="20"/>
                      <w:szCs w:val="20"/>
                      <w:shd w:val="clear" w:color="auto" w:fill="FFFFFF"/>
                    </w:rPr>
                    <w:t xml:space="preserve"> an International </w:t>
                  </w:r>
                  <w:proofErr w:type="spellStart"/>
                  <w:r w:rsidRPr="00E01395">
                    <w:rPr>
                      <w:rFonts w:ascii="Carlito" w:hAnsi="Carlito" w:cs="Tahoma"/>
                      <w:color w:val="3B3A36"/>
                      <w:sz w:val="20"/>
                      <w:szCs w:val="20"/>
                      <w:shd w:val="clear" w:color="auto" w:fill="FFFFFF"/>
                    </w:rPr>
                    <w:t>Relations</w:t>
                  </w:r>
                  <w:proofErr w:type="spellEnd"/>
                  <w:r w:rsidRPr="00E01395">
                    <w:rPr>
                      <w:rFonts w:ascii="Carlito" w:hAnsi="Carlito" w:cs="Tahoma"/>
                      <w:color w:val="3B3A36"/>
                      <w:sz w:val="20"/>
                      <w:szCs w:val="20"/>
                      <w:shd w:val="clear" w:color="auto" w:fill="FFFFFF"/>
                    </w:rPr>
                    <w:t xml:space="preserve"> </w:t>
                  </w:r>
                  <w:proofErr w:type="spellStart"/>
                  <w:r w:rsidRPr="00E01395">
                    <w:rPr>
                      <w:rFonts w:ascii="Carlito" w:hAnsi="Carlito" w:cs="Tahoma"/>
                      <w:color w:val="3B3A36"/>
                      <w:sz w:val="20"/>
                      <w:szCs w:val="20"/>
                      <w:shd w:val="clear" w:color="auto" w:fill="FFFFFF"/>
                    </w:rPr>
                    <w:t>perspective</w:t>
                  </w:r>
                  <w:proofErr w:type="spellEnd"/>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584EF708" w14:textId="77777777" w:rsidR="00731977" w:rsidRPr="002E6734" w:rsidRDefault="00731977" w:rsidP="00731977">
                  <w:pPr>
                    <w:jc w:val="both"/>
                    <w:rPr>
                      <w:lang w:val="en-US"/>
                    </w:rPr>
                  </w:pPr>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77777777" w:rsidR="00731977" w:rsidRPr="002E6734" w:rsidRDefault="00731977" w:rsidP="00731977">
                  <w:pPr>
                    <w:jc w:val="both"/>
                    <w:rPr>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33DAF851" w:rsidR="00731977" w:rsidRPr="00A653F5" w:rsidRDefault="0060493D" w:rsidP="00731977">
                  <w:pPr>
                    <w:jc w:val="both"/>
                    <w:rPr>
                      <w:rFonts w:ascii="Carlito" w:hAnsi="Carlito"/>
                      <w:b/>
                      <w:bCs/>
                      <w:lang w:val="en-US"/>
                    </w:rPr>
                  </w:pPr>
                  <w:r w:rsidRPr="00A653F5">
                    <w:rPr>
                      <w:rFonts w:ascii="Carlito" w:hAnsi="Carlito"/>
                      <w:b/>
                      <w:bCs/>
                      <w:sz w:val="20"/>
                      <w:szCs w:val="20"/>
                      <w:lang w:val="en-US"/>
                    </w:rPr>
                    <w:t>PO 1.</w:t>
                  </w:r>
                </w:p>
              </w:tc>
              <w:tc>
                <w:tcPr>
                  <w:tcW w:w="7784" w:type="dxa"/>
                </w:tcPr>
                <w:p w14:paraId="38E32BB7" w14:textId="4F60315E" w:rsidR="00731977" w:rsidRPr="00A653F5" w:rsidRDefault="0060493D" w:rsidP="00731977">
                  <w:pPr>
                    <w:jc w:val="both"/>
                    <w:rPr>
                      <w:rFonts w:ascii="Carlito" w:hAnsi="Carlito"/>
                      <w:lang w:val="en-US"/>
                    </w:rPr>
                  </w:pPr>
                  <w:r w:rsidRPr="00A653F5">
                    <w:rPr>
                      <w:rFonts w:ascii="Carlito" w:hAnsi="Carlito"/>
                      <w:sz w:val="20"/>
                      <w:szCs w:val="20"/>
                      <w:lang w:val="en-US"/>
                    </w:rPr>
                    <w:t xml:space="preserve">To be able to gain and </w:t>
                  </w:r>
                  <w:r w:rsidR="00A653F5" w:rsidRPr="00A653F5">
                    <w:rPr>
                      <w:rFonts w:ascii="Carlito" w:hAnsi="Carlito"/>
                      <w:sz w:val="20"/>
                      <w:szCs w:val="20"/>
                      <w:lang w:val="en-US"/>
                    </w:rPr>
                    <w:t xml:space="preserve">utilize advanced conceptual, theoretical and </w:t>
                  </w:r>
                  <w:proofErr w:type="spellStart"/>
                  <w:r w:rsidR="00A653F5" w:rsidRPr="00A653F5">
                    <w:rPr>
                      <w:rFonts w:ascii="Carlito" w:hAnsi="Carlito"/>
                      <w:sz w:val="20"/>
                      <w:szCs w:val="20"/>
                      <w:lang w:val="en-US"/>
                    </w:rPr>
                    <w:t>empitical</w:t>
                  </w:r>
                  <w:proofErr w:type="spellEnd"/>
                  <w:r w:rsidR="00A653F5" w:rsidRPr="00A653F5">
                    <w:rPr>
                      <w:rFonts w:ascii="Carlito" w:hAnsi="Carlito"/>
                      <w:sz w:val="20"/>
                      <w:szCs w:val="20"/>
                      <w:lang w:val="en-US"/>
                    </w:rPr>
                    <w:t xml:space="preserve"> knowledge based on </w:t>
                  </w:r>
                  <w:proofErr w:type="gramStart"/>
                  <w:r w:rsidR="00A653F5" w:rsidRPr="00A653F5">
                    <w:rPr>
                      <w:rFonts w:ascii="Carlito" w:hAnsi="Carlito"/>
                      <w:sz w:val="20"/>
                      <w:szCs w:val="20"/>
                      <w:lang w:val="en-US"/>
                    </w:rPr>
                    <w:t>up to date</w:t>
                  </w:r>
                  <w:proofErr w:type="gramEnd"/>
                  <w:r w:rsidR="00A653F5" w:rsidRPr="00A653F5">
                    <w:rPr>
                      <w:rFonts w:ascii="Carlito" w:hAnsi="Carlito"/>
                      <w:sz w:val="20"/>
                      <w:szCs w:val="20"/>
                      <w:lang w:val="en-US"/>
                    </w:rPr>
                    <w:t xml:space="preserve"> academic resources in the field of International </w:t>
                  </w:r>
                  <w:proofErr w:type="spellStart"/>
                  <w:r w:rsidR="00A653F5" w:rsidRPr="00A653F5">
                    <w:rPr>
                      <w:rFonts w:ascii="Carlito" w:hAnsi="Carlito"/>
                      <w:sz w:val="20"/>
                      <w:szCs w:val="20"/>
                      <w:lang w:val="en-US"/>
                    </w:rPr>
                    <w:t>Relatinos</w:t>
                  </w:r>
                  <w:proofErr w:type="spellEnd"/>
                  <w:r w:rsidR="00A653F5" w:rsidRPr="00A653F5">
                    <w:rPr>
                      <w:rFonts w:ascii="Carlito" w:hAnsi="Carlito"/>
                      <w:sz w:val="20"/>
                      <w:szCs w:val="20"/>
                      <w:lang w:val="en-US"/>
                    </w:rPr>
                    <w:t xml:space="preserve"> and its sub-</w:t>
                  </w:r>
                  <w:proofErr w:type="spellStart"/>
                  <w:r w:rsidR="00A653F5" w:rsidRPr="00A653F5">
                    <w:rPr>
                      <w:rFonts w:ascii="Carlito" w:hAnsi="Carlito"/>
                      <w:sz w:val="20"/>
                      <w:szCs w:val="20"/>
                      <w:lang w:val="en-US"/>
                    </w:rPr>
                    <w:t>fieds</w:t>
                  </w:r>
                  <w:proofErr w:type="spellEnd"/>
                </w:p>
              </w:tc>
            </w:tr>
            <w:tr w:rsidR="00731977" w:rsidRPr="002E6734" w14:paraId="109BAA97" w14:textId="77777777" w:rsidTr="00A25E79">
              <w:trPr>
                <w:trHeight w:val="268"/>
              </w:trPr>
              <w:tc>
                <w:tcPr>
                  <w:tcW w:w="1024" w:type="dxa"/>
                </w:tcPr>
                <w:p w14:paraId="65ED327B" w14:textId="1B0C0A45" w:rsidR="00731977" w:rsidRPr="002E6734" w:rsidRDefault="00A653F5" w:rsidP="00731977">
                  <w:pPr>
                    <w:jc w:val="both"/>
                    <w:rPr>
                      <w:lang w:val="en-US"/>
                    </w:rPr>
                  </w:pPr>
                  <w:r w:rsidRPr="00A653F5">
                    <w:rPr>
                      <w:rFonts w:ascii="Carlito" w:hAnsi="Carlito"/>
                      <w:b/>
                      <w:bCs/>
                      <w:sz w:val="20"/>
                      <w:szCs w:val="20"/>
                      <w:lang w:val="en-US"/>
                    </w:rPr>
                    <w:t>PO 3.</w:t>
                  </w:r>
                </w:p>
              </w:tc>
              <w:tc>
                <w:tcPr>
                  <w:tcW w:w="7784" w:type="dxa"/>
                </w:tcPr>
                <w:p w14:paraId="57B68867" w14:textId="786FF233" w:rsidR="00731977" w:rsidRPr="002E6734" w:rsidRDefault="00A653F5" w:rsidP="00731977">
                  <w:pPr>
                    <w:jc w:val="both"/>
                    <w:rPr>
                      <w:lang w:val="en-US"/>
                    </w:rPr>
                  </w:pPr>
                  <w:r w:rsidRPr="00A653F5">
                    <w:rPr>
                      <w:rFonts w:ascii="Carlito" w:hAnsi="Carlito"/>
                      <w:sz w:val="20"/>
                      <w:szCs w:val="20"/>
                      <w:lang w:val="en-US"/>
                    </w:rPr>
                    <w:t>To be able to comparatively examine International Relations theories in-depth</w:t>
                  </w:r>
                </w:p>
              </w:tc>
            </w:tr>
            <w:tr w:rsidR="00731977" w:rsidRPr="002E6734" w14:paraId="57915FD8" w14:textId="77777777" w:rsidTr="00A25E79">
              <w:trPr>
                <w:trHeight w:val="280"/>
              </w:trPr>
              <w:tc>
                <w:tcPr>
                  <w:tcW w:w="1024" w:type="dxa"/>
                </w:tcPr>
                <w:p w14:paraId="3EEC2E29" w14:textId="2713336B" w:rsidR="00731977" w:rsidRPr="002E6734" w:rsidRDefault="00A653F5" w:rsidP="00731977">
                  <w:pPr>
                    <w:jc w:val="both"/>
                    <w:rPr>
                      <w:lang w:val="en-US"/>
                    </w:rPr>
                  </w:pPr>
                  <w:r w:rsidRPr="00A653F5">
                    <w:rPr>
                      <w:rFonts w:ascii="Carlito" w:hAnsi="Carlito"/>
                      <w:b/>
                      <w:bCs/>
                      <w:sz w:val="20"/>
                      <w:szCs w:val="20"/>
                      <w:lang w:val="en-US"/>
                    </w:rPr>
                    <w:t>PO 4.</w:t>
                  </w:r>
                </w:p>
              </w:tc>
              <w:tc>
                <w:tcPr>
                  <w:tcW w:w="7784" w:type="dxa"/>
                </w:tcPr>
                <w:p w14:paraId="05B3A36E" w14:textId="2A11F1A5" w:rsidR="00731977" w:rsidRPr="002E6734" w:rsidRDefault="00A653F5" w:rsidP="00731977">
                  <w:pPr>
                    <w:jc w:val="both"/>
                    <w:rPr>
                      <w:lang w:val="en-US"/>
                    </w:rPr>
                  </w:pPr>
                  <w:r w:rsidRPr="00A653F5">
                    <w:rPr>
                      <w:rFonts w:ascii="Carlito" w:hAnsi="Carlito"/>
                      <w:sz w:val="20"/>
                      <w:szCs w:val="20"/>
                      <w:lang w:val="en-US"/>
                    </w:rPr>
                    <w:t>To be able to identify the fundamental problems in classical and contemporary international phenomena and provide critical interpretation using the theoretical bases of International Relations</w:t>
                  </w:r>
                </w:p>
              </w:tc>
            </w:tr>
            <w:tr w:rsidR="00731977" w:rsidRPr="002E6734" w14:paraId="30202A05" w14:textId="77777777" w:rsidTr="00A25E79">
              <w:trPr>
                <w:trHeight w:val="268"/>
              </w:trPr>
              <w:tc>
                <w:tcPr>
                  <w:tcW w:w="1024" w:type="dxa"/>
                </w:tcPr>
                <w:p w14:paraId="7F16B3BD" w14:textId="48F9EA85" w:rsidR="00731977" w:rsidRPr="002E6734" w:rsidRDefault="00A653F5" w:rsidP="00731977">
                  <w:pPr>
                    <w:jc w:val="both"/>
                    <w:rPr>
                      <w:lang w:val="en-US"/>
                    </w:rPr>
                  </w:pPr>
                  <w:r w:rsidRPr="00A653F5">
                    <w:rPr>
                      <w:rFonts w:ascii="Carlito" w:hAnsi="Carlito"/>
                      <w:b/>
                      <w:bCs/>
                      <w:sz w:val="20"/>
                      <w:szCs w:val="20"/>
                      <w:lang w:val="en-US"/>
                    </w:rPr>
                    <w:t>PO 8.</w:t>
                  </w:r>
                </w:p>
              </w:tc>
              <w:tc>
                <w:tcPr>
                  <w:tcW w:w="7784" w:type="dxa"/>
                </w:tcPr>
                <w:p w14:paraId="24FA446F" w14:textId="6434CD5D" w:rsidR="00731977" w:rsidRPr="003152DE" w:rsidRDefault="00A653F5" w:rsidP="00731977">
                  <w:pPr>
                    <w:jc w:val="both"/>
                    <w:rPr>
                      <w:rFonts w:ascii="Carlito" w:hAnsi="Carlito"/>
                      <w:sz w:val="20"/>
                      <w:szCs w:val="20"/>
                      <w:lang w:val="en-US"/>
                    </w:rPr>
                  </w:pPr>
                  <w:r w:rsidRPr="003152DE">
                    <w:rPr>
                      <w:rFonts w:ascii="Carlito" w:hAnsi="Carlito"/>
                      <w:sz w:val="20"/>
                      <w:szCs w:val="20"/>
                      <w:lang w:val="en-US"/>
                    </w:rPr>
                    <w:t>To have and be able to make</w:t>
                  </w:r>
                  <w:r w:rsidR="003152DE" w:rsidRPr="003152DE">
                    <w:rPr>
                      <w:rFonts w:ascii="Carlito" w:hAnsi="Carlito"/>
                      <w:sz w:val="20"/>
                      <w:szCs w:val="20"/>
                      <w:lang w:val="en-US"/>
                    </w:rPr>
                    <w:t xml:space="preserve"> use of fundamental knowledge on other related social sciences disciplines in International Relations</w:t>
                  </w:r>
                </w:p>
              </w:tc>
            </w:tr>
            <w:tr w:rsidR="00731977" w:rsidRPr="002E6734" w14:paraId="089B4BCC" w14:textId="77777777" w:rsidTr="00A25E79">
              <w:trPr>
                <w:trHeight w:val="280"/>
              </w:trPr>
              <w:tc>
                <w:tcPr>
                  <w:tcW w:w="1024" w:type="dxa"/>
                </w:tcPr>
                <w:p w14:paraId="5CF8D788" w14:textId="37AF8AD4" w:rsidR="00731977" w:rsidRPr="002E6734" w:rsidRDefault="003152DE" w:rsidP="00731977">
                  <w:pPr>
                    <w:jc w:val="both"/>
                    <w:rPr>
                      <w:lang w:val="en-US"/>
                    </w:rPr>
                  </w:pPr>
                  <w:r w:rsidRPr="003152DE">
                    <w:rPr>
                      <w:rFonts w:ascii="Carlito" w:hAnsi="Carlito"/>
                      <w:b/>
                      <w:bCs/>
                      <w:sz w:val="20"/>
                      <w:szCs w:val="20"/>
                      <w:lang w:val="en-US"/>
                    </w:rPr>
                    <w:t>PO 12.</w:t>
                  </w:r>
                </w:p>
              </w:tc>
              <w:tc>
                <w:tcPr>
                  <w:tcW w:w="7784" w:type="dxa"/>
                </w:tcPr>
                <w:p w14:paraId="517174D1" w14:textId="6C927070" w:rsidR="00731977" w:rsidRPr="003152DE" w:rsidRDefault="003152DE" w:rsidP="00731977">
                  <w:pPr>
                    <w:jc w:val="both"/>
                    <w:rPr>
                      <w:rFonts w:ascii="Carlito" w:hAnsi="Carlito"/>
                      <w:sz w:val="20"/>
                      <w:szCs w:val="20"/>
                      <w:lang w:val="en-US"/>
                    </w:rPr>
                  </w:pPr>
                  <w:r w:rsidRPr="003152DE">
                    <w:rPr>
                      <w:rFonts w:ascii="Carlito" w:hAnsi="Carlito"/>
                      <w:sz w:val="20"/>
                      <w:szCs w:val="20"/>
                      <w:lang w:val="en-US"/>
                    </w:rPr>
                    <w:t>To be educated as intellectual, credible, creative individuals who are able to look at situations and events objectively and critically to contribute to social development</w:t>
                  </w:r>
                </w:p>
              </w:tc>
            </w:tr>
            <w:tr w:rsidR="00731977" w:rsidRPr="002E6734" w14:paraId="17464FAF" w14:textId="77777777" w:rsidTr="00A25E79">
              <w:trPr>
                <w:trHeight w:val="280"/>
              </w:trPr>
              <w:tc>
                <w:tcPr>
                  <w:tcW w:w="1024" w:type="dxa"/>
                </w:tcPr>
                <w:p w14:paraId="48B78ABB" w14:textId="77777777" w:rsidR="00731977" w:rsidRPr="002E6734" w:rsidRDefault="00731977" w:rsidP="00731977">
                  <w:pPr>
                    <w:jc w:val="both"/>
                    <w:rPr>
                      <w:lang w:val="en-US"/>
                    </w:rPr>
                  </w:pPr>
                </w:p>
              </w:tc>
              <w:tc>
                <w:tcPr>
                  <w:tcW w:w="7784" w:type="dxa"/>
                </w:tcPr>
                <w:p w14:paraId="4451F58F" w14:textId="77777777" w:rsidR="00731977" w:rsidRPr="002E6734" w:rsidRDefault="00731977" w:rsidP="00731977">
                  <w:pPr>
                    <w:jc w:val="both"/>
                    <w:rPr>
                      <w:lang w:val="en-US"/>
                    </w:rPr>
                  </w:pPr>
                </w:p>
              </w:tc>
            </w:tr>
            <w:tr w:rsidR="00731977" w:rsidRPr="002E6734" w14:paraId="59554A46" w14:textId="77777777" w:rsidTr="00A25E79">
              <w:trPr>
                <w:trHeight w:val="280"/>
              </w:trPr>
              <w:tc>
                <w:tcPr>
                  <w:tcW w:w="1024" w:type="dxa"/>
                </w:tcPr>
                <w:p w14:paraId="7F6BB327" w14:textId="77777777" w:rsidR="00731977" w:rsidRPr="002E6734" w:rsidRDefault="00731977" w:rsidP="00731977">
                  <w:pPr>
                    <w:jc w:val="both"/>
                    <w:rPr>
                      <w:lang w:val="en-US"/>
                    </w:rPr>
                  </w:pPr>
                </w:p>
              </w:tc>
              <w:tc>
                <w:tcPr>
                  <w:tcW w:w="7784" w:type="dxa"/>
                </w:tcPr>
                <w:p w14:paraId="61C4E36A" w14:textId="77777777" w:rsidR="00731977" w:rsidRPr="002E6734" w:rsidRDefault="00731977" w:rsidP="00731977">
                  <w:pPr>
                    <w:jc w:val="both"/>
                    <w:rPr>
                      <w:lang w:val="en-US"/>
                    </w:rPr>
                  </w:pPr>
                </w:p>
              </w:tc>
            </w:tr>
            <w:tr w:rsidR="00731977" w:rsidRPr="002E6734" w14:paraId="1487A263" w14:textId="77777777" w:rsidTr="00A25E79">
              <w:trPr>
                <w:trHeight w:val="280"/>
              </w:trPr>
              <w:tc>
                <w:tcPr>
                  <w:tcW w:w="1024" w:type="dxa"/>
                </w:tcPr>
                <w:p w14:paraId="380F476E" w14:textId="77777777" w:rsidR="00731977" w:rsidRPr="002E6734" w:rsidRDefault="00731977" w:rsidP="00731977">
                  <w:pPr>
                    <w:jc w:val="both"/>
                    <w:rPr>
                      <w:lang w:val="en-US"/>
                    </w:rPr>
                  </w:pPr>
                </w:p>
              </w:tc>
              <w:tc>
                <w:tcPr>
                  <w:tcW w:w="7784" w:type="dxa"/>
                </w:tcPr>
                <w:p w14:paraId="3D34254C" w14:textId="77777777" w:rsidR="00731977" w:rsidRPr="002E6734" w:rsidRDefault="00731977" w:rsidP="00731977">
                  <w:pPr>
                    <w:jc w:val="both"/>
                    <w:rPr>
                      <w:lang w:val="en-US"/>
                    </w:rPr>
                  </w:pPr>
                </w:p>
              </w:tc>
            </w:tr>
            <w:tr w:rsidR="00731977" w:rsidRPr="002E6734" w14:paraId="56E80B33" w14:textId="77777777" w:rsidTr="00A25E79">
              <w:trPr>
                <w:trHeight w:val="280"/>
              </w:trPr>
              <w:tc>
                <w:tcPr>
                  <w:tcW w:w="1024" w:type="dxa"/>
                </w:tcPr>
                <w:p w14:paraId="326D7846" w14:textId="77777777" w:rsidR="00731977" w:rsidRPr="002E6734" w:rsidRDefault="00731977" w:rsidP="00731977">
                  <w:pPr>
                    <w:jc w:val="both"/>
                    <w:rPr>
                      <w:lang w:val="en-US"/>
                    </w:rPr>
                  </w:pPr>
                </w:p>
              </w:tc>
              <w:tc>
                <w:tcPr>
                  <w:tcW w:w="7784" w:type="dxa"/>
                </w:tcPr>
                <w:p w14:paraId="2CABD3C6" w14:textId="77777777" w:rsidR="00731977" w:rsidRPr="002E6734" w:rsidRDefault="00731977" w:rsidP="00731977">
                  <w:pPr>
                    <w:jc w:val="both"/>
                    <w:rPr>
                      <w:lang w:val="en-US"/>
                    </w:rPr>
                  </w:pPr>
                </w:p>
              </w:tc>
            </w:tr>
            <w:tr w:rsidR="00731977" w:rsidRPr="002E6734" w14:paraId="4882A89C" w14:textId="77777777" w:rsidTr="00A25E79">
              <w:trPr>
                <w:trHeight w:val="280"/>
              </w:trPr>
              <w:tc>
                <w:tcPr>
                  <w:tcW w:w="1024" w:type="dxa"/>
                </w:tcPr>
                <w:p w14:paraId="1F028D2E" w14:textId="77777777" w:rsidR="00731977" w:rsidRPr="002E6734" w:rsidRDefault="00731977" w:rsidP="00731977">
                  <w:pPr>
                    <w:jc w:val="both"/>
                    <w:rPr>
                      <w:lang w:val="en-US"/>
                    </w:rPr>
                  </w:pPr>
                </w:p>
              </w:tc>
              <w:tc>
                <w:tcPr>
                  <w:tcW w:w="7784" w:type="dxa"/>
                </w:tcPr>
                <w:p w14:paraId="3FEED588" w14:textId="77777777" w:rsidR="00731977" w:rsidRPr="002E6734" w:rsidRDefault="00731977" w:rsidP="00731977">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EF389B" w:rsidRPr="002E6734" w:rsidRDefault="00EF389B" w:rsidP="00EF389B">
            <w:pPr>
              <w:pStyle w:val="TableParagraph"/>
              <w:ind w:left="110"/>
              <w:jc w:val="both"/>
              <w:rPr>
                <w:sz w:val="20"/>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6214E8" w:rsidRDefault="00AF3427" w:rsidP="00AF3427">
                  <w:pPr>
                    <w:jc w:val="both"/>
                    <w:rPr>
                      <w:rFonts w:ascii="Carlito" w:hAnsi="Carlito"/>
                      <w:lang w:val="en-US"/>
                    </w:rPr>
                  </w:pPr>
                  <w:r w:rsidRPr="006214E8">
                    <w:rPr>
                      <w:rFonts w:ascii="Carlito" w:hAnsi="Carlito"/>
                      <w:lang w:val="en-US"/>
                    </w:rPr>
                    <w:t>1. Week</w:t>
                  </w:r>
                </w:p>
              </w:tc>
              <w:tc>
                <w:tcPr>
                  <w:tcW w:w="7786" w:type="dxa"/>
                </w:tcPr>
                <w:p w14:paraId="6C4E2F98" w14:textId="0A668640" w:rsidR="00AF3427" w:rsidRPr="006214E8" w:rsidRDefault="003152DE" w:rsidP="00AF3427">
                  <w:pPr>
                    <w:jc w:val="both"/>
                    <w:rPr>
                      <w:rFonts w:ascii="Carlito" w:hAnsi="Carlito"/>
                      <w:lang w:val="en-US"/>
                    </w:rPr>
                  </w:pPr>
                  <w:r w:rsidRPr="006214E8">
                    <w:rPr>
                      <w:rFonts w:ascii="Carlito" w:hAnsi="Carlito"/>
                      <w:lang w:val="en-US"/>
                    </w:rPr>
                    <w:t>Introduction: Why Study IR via Popular Culture?</w:t>
                  </w:r>
                </w:p>
              </w:tc>
            </w:tr>
            <w:tr w:rsidR="00AF3427" w:rsidRPr="002E6734" w14:paraId="48B2FD97" w14:textId="77777777" w:rsidTr="00651F0F">
              <w:tc>
                <w:tcPr>
                  <w:tcW w:w="1024" w:type="dxa"/>
                </w:tcPr>
                <w:p w14:paraId="15300749" w14:textId="32549FCE" w:rsidR="00AF3427" w:rsidRPr="006214E8" w:rsidRDefault="00AF3427" w:rsidP="00AF3427">
                  <w:pPr>
                    <w:jc w:val="both"/>
                    <w:rPr>
                      <w:rFonts w:ascii="Carlito" w:hAnsi="Carlito"/>
                      <w:lang w:val="en-US"/>
                    </w:rPr>
                  </w:pPr>
                  <w:r w:rsidRPr="006214E8">
                    <w:rPr>
                      <w:rFonts w:ascii="Carlito" w:hAnsi="Carlito"/>
                      <w:lang w:val="en-US"/>
                    </w:rPr>
                    <w:t>2. Week</w:t>
                  </w:r>
                </w:p>
              </w:tc>
              <w:tc>
                <w:tcPr>
                  <w:tcW w:w="7786" w:type="dxa"/>
                </w:tcPr>
                <w:p w14:paraId="6E9441F3" w14:textId="03D13FA1" w:rsidR="00AF3427" w:rsidRPr="006214E8" w:rsidRDefault="003152DE" w:rsidP="00AF3427">
                  <w:pPr>
                    <w:jc w:val="both"/>
                    <w:rPr>
                      <w:rFonts w:ascii="Carlito" w:hAnsi="Carlito"/>
                      <w:lang w:val="en-US"/>
                    </w:rPr>
                  </w:pPr>
                  <w:r w:rsidRPr="006214E8">
                    <w:rPr>
                      <w:rFonts w:ascii="Carlito" w:hAnsi="Carlito"/>
                      <w:lang w:val="en-US"/>
                    </w:rPr>
                    <w:t>Two Angles on War: Decisionmakers and Children</w:t>
                  </w:r>
                </w:p>
              </w:tc>
            </w:tr>
            <w:tr w:rsidR="00AF3427" w:rsidRPr="002E6734" w14:paraId="48D28821" w14:textId="77777777" w:rsidTr="00651F0F">
              <w:tc>
                <w:tcPr>
                  <w:tcW w:w="1024" w:type="dxa"/>
                </w:tcPr>
                <w:p w14:paraId="15B75C81" w14:textId="14F5FB7D" w:rsidR="00AF3427" w:rsidRPr="006214E8" w:rsidRDefault="00AF3427" w:rsidP="00AF3427">
                  <w:pPr>
                    <w:jc w:val="both"/>
                    <w:rPr>
                      <w:rFonts w:ascii="Carlito" w:hAnsi="Carlito"/>
                      <w:lang w:val="en-US"/>
                    </w:rPr>
                  </w:pPr>
                  <w:r w:rsidRPr="006214E8">
                    <w:rPr>
                      <w:rFonts w:ascii="Carlito" w:hAnsi="Carlito"/>
                      <w:lang w:val="en-US"/>
                    </w:rPr>
                    <w:t>3. Week</w:t>
                  </w:r>
                </w:p>
              </w:tc>
              <w:tc>
                <w:tcPr>
                  <w:tcW w:w="7786" w:type="dxa"/>
                </w:tcPr>
                <w:p w14:paraId="366481C1" w14:textId="6EABFCEB" w:rsidR="00AF3427" w:rsidRPr="006214E8" w:rsidRDefault="003152DE" w:rsidP="00AF3427">
                  <w:pPr>
                    <w:jc w:val="both"/>
                    <w:rPr>
                      <w:rFonts w:ascii="Carlito" w:hAnsi="Carlito"/>
                      <w:lang w:val="en-US"/>
                    </w:rPr>
                  </w:pPr>
                  <w:r w:rsidRPr="006214E8">
                    <w:rPr>
                      <w:rFonts w:ascii="Carlito" w:hAnsi="Carlito"/>
                      <w:lang w:val="en-US"/>
                    </w:rPr>
                    <w:t>Discussion Session: War</w:t>
                  </w:r>
                </w:p>
              </w:tc>
            </w:tr>
            <w:tr w:rsidR="00AF3427" w:rsidRPr="002E6734" w14:paraId="73FCE1C6" w14:textId="77777777" w:rsidTr="00651F0F">
              <w:tc>
                <w:tcPr>
                  <w:tcW w:w="1024" w:type="dxa"/>
                </w:tcPr>
                <w:p w14:paraId="4FBD2A9C" w14:textId="77C2F814" w:rsidR="00AF3427" w:rsidRPr="006214E8" w:rsidRDefault="00AF3427" w:rsidP="00AF3427">
                  <w:pPr>
                    <w:jc w:val="both"/>
                    <w:rPr>
                      <w:rFonts w:ascii="Carlito" w:hAnsi="Carlito"/>
                      <w:lang w:val="en-US"/>
                    </w:rPr>
                  </w:pPr>
                  <w:r w:rsidRPr="006214E8">
                    <w:rPr>
                      <w:rFonts w:ascii="Carlito" w:hAnsi="Carlito"/>
                      <w:lang w:val="en-US"/>
                    </w:rPr>
                    <w:t>4. Week</w:t>
                  </w:r>
                </w:p>
              </w:tc>
              <w:tc>
                <w:tcPr>
                  <w:tcW w:w="7786" w:type="dxa"/>
                </w:tcPr>
                <w:p w14:paraId="27188D99" w14:textId="681E7B38" w:rsidR="00AF3427" w:rsidRPr="006214E8" w:rsidRDefault="003152DE" w:rsidP="00AF3427">
                  <w:pPr>
                    <w:jc w:val="both"/>
                    <w:rPr>
                      <w:rFonts w:ascii="Carlito" w:hAnsi="Carlito"/>
                      <w:lang w:val="en-US"/>
                    </w:rPr>
                  </w:pPr>
                  <w:r w:rsidRPr="006214E8">
                    <w:rPr>
                      <w:rFonts w:ascii="Carlito" w:hAnsi="Carlito"/>
                      <w:lang w:val="en-US"/>
                    </w:rPr>
                    <w:t>Security Dilemma</w:t>
                  </w:r>
                </w:p>
              </w:tc>
            </w:tr>
            <w:tr w:rsidR="00AF3427" w:rsidRPr="002E6734" w14:paraId="668D5AA6" w14:textId="77777777" w:rsidTr="00651F0F">
              <w:tc>
                <w:tcPr>
                  <w:tcW w:w="1024" w:type="dxa"/>
                </w:tcPr>
                <w:p w14:paraId="476E55CD" w14:textId="4E5A4658" w:rsidR="00AF3427" w:rsidRPr="006214E8" w:rsidRDefault="00AF3427" w:rsidP="00AF3427">
                  <w:pPr>
                    <w:jc w:val="both"/>
                    <w:rPr>
                      <w:rFonts w:ascii="Carlito" w:hAnsi="Carlito"/>
                      <w:lang w:val="en-US"/>
                    </w:rPr>
                  </w:pPr>
                  <w:r w:rsidRPr="006214E8">
                    <w:rPr>
                      <w:rFonts w:ascii="Carlito" w:hAnsi="Carlito"/>
                      <w:lang w:val="en-US"/>
                    </w:rPr>
                    <w:t>5. Week</w:t>
                  </w:r>
                </w:p>
              </w:tc>
              <w:tc>
                <w:tcPr>
                  <w:tcW w:w="7786" w:type="dxa"/>
                </w:tcPr>
                <w:p w14:paraId="6EDE7076" w14:textId="63D030E1" w:rsidR="00AF3427" w:rsidRPr="006214E8" w:rsidRDefault="003152DE" w:rsidP="00AF3427">
                  <w:pPr>
                    <w:jc w:val="both"/>
                    <w:rPr>
                      <w:rFonts w:ascii="Carlito" w:hAnsi="Carlito"/>
                      <w:lang w:val="en-US"/>
                    </w:rPr>
                  </w:pPr>
                  <w:r w:rsidRPr="006214E8">
                    <w:rPr>
                      <w:rFonts w:ascii="Carlito" w:hAnsi="Carlito"/>
                      <w:lang w:val="en-US"/>
                    </w:rPr>
                    <w:t>Discussion Session: Security Dilemma</w:t>
                  </w:r>
                </w:p>
              </w:tc>
            </w:tr>
            <w:tr w:rsidR="00AF3427" w:rsidRPr="002E6734" w14:paraId="3A75AAFD" w14:textId="77777777" w:rsidTr="00651F0F">
              <w:tc>
                <w:tcPr>
                  <w:tcW w:w="1024" w:type="dxa"/>
                </w:tcPr>
                <w:p w14:paraId="57DB6ED7" w14:textId="360D2BCB" w:rsidR="00AF3427" w:rsidRPr="006214E8" w:rsidRDefault="00AF3427" w:rsidP="00AF3427">
                  <w:pPr>
                    <w:jc w:val="both"/>
                    <w:rPr>
                      <w:rFonts w:ascii="Carlito" w:hAnsi="Carlito"/>
                      <w:lang w:val="en-US"/>
                    </w:rPr>
                  </w:pPr>
                  <w:r w:rsidRPr="006214E8">
                    <w:rPr>
                      <w:rFonts w:ascii="Carlito" w:hAnsi="Carlito"/>
                      <w:lang w:val="en-US"/>
                    </w:rPr>
                    <w:t>6. Week</w:t>
                  </w:r>
                </w:p>
              </w:tc>
              <w:tc>
                <w:tcPr>
                  <w:tcW w:w="7786" w:type="dxa"/>
                </w:tcPr>
                <w:p w14:paraId="18381476" w14:textId="03B204EE" w:rsidR="00AF3427" w:rsidRPr="006214E8" w:rsidRDefault="003152DE" w:rsidP="00AF3427">
                  <w:pPr>
                    <w:jc w:val="both"/>
                    <w:rPr>
                      <w:rFonts w:ascii="Carlito" w:hAnsi="Carlito"/>
                      <w:lang w:val="en-US"/>
                    </w:rPr>
                  </w:pPr>
                  <w:r w:rsidRPr="006214E8">
                    <w:rPr>
                      <w:rFonts w:ascii="Carlito" w:hAnsi="Carlito"/>
                      <w:lang w:val="en-US"/>
                    </w:rPr>
                    <w:t>The Nuclear Bomb</w:t>
                  </w:r>
                </w:p>
              </w:tc>
            </w:tr>
            <w:tr w:rsidR="00AF3427" w:rsidRPr="002E6734" w14:paraId="6B71A7E3" w14:textId="77777777" w:rsidTr="00651F0F">
              <w:tc>
                <w:tcPr>
                  <w:tcW w:w="1024" w:type="dxa"/>
                </w:tcPr>
                <w:p w14:paraId="4F2D879F" w14:textId="23D8E40C" w:rsidR="00AF3427" w:rsidRPr="006214E8" w:rsidRDefault="00AF3427" w:rsidP="00AF3427">
                  <w:pPr>
                    <w:jc w:val="both"/>
                    <w:rPr>
                      <w:rFonts w:ascii="Carlito" w:hAnsi="Carlito"/>
                      <w:lang w:val="en-US"/>
                    </w:rPr>
                  </w:pPr>
                  <w:r w:rsidRPr="006214E8">
                    <w:rPr>
                      <w:rFonts w:ascii="Carlito" w:hAnsi="Carlito"/>
                      <w:lang w:val="en-US"/>
                    </w:rPr>
                    <w:t>7. Week</w:t>
                  </w:r>
                </w:p>
              </w:tc>
              <w:tc>
                <w:tcPr>
                  <w:tcW w:w="7786" w:type="dxa"/>
                </w:tcPr>
                <w:p w14:paraId="20B8C531" w14:textId="231ACB67" w:rsidR="00AF3427" w:rsidRPr="006214E8" w:rsidRDefault="003152DE" w:rsidP="00AF3427">
                  <w:pPr>
                    <w:jc w:val="both"/>
                    <w:rPr>
                      <w:rFonts w:ascii="Carlito" w:hAnsi="Carlito"/>
                      <w:lang w:val="en-US"/>
                    </w:rPr>
                  </w:pPr>
                  <w:r w:rsidRPr="006214E8">
                    <w:rPr>
                      <w:rFonts w:ascii="Carlito" w:hAnsi="Carlito"/>
                      <w:lang w:val="en-US"/>
                    </w:rPr>
                    <w:t>Discussion Session: The Nuclear Bomb</w:t>
                  </w:r>
                </w:p>
              </w:tc>
            </w:tr>
            <w:tr w:rsidR="00AF3427" w:rsidRPr="002E6734" w14:paraId="5339304A" w14:textId="77777777" w:rsidTr="00651F0F">
              <w:tc>
                <w:tcPr>
                  <w:tcW w:w="1024" w:type="dxa"/>
                </w:tcPr>
                <w:p w14:paraId="0242AD6C" w14:textId="79207C72" w:rsidR="00AF3427" w:rsidRPr="006214E8" w:rsidRDefault="00AF3427" w:rsidP="00AF3427">
                  <w:pPr>
                    <w:jc w:val="both"/>
                    <w:rPr>
                      <w:rFonts w:ascii="Carlito" w:hAnsi="Carlito"/>
                      <w:lang w:val="en-US"/>
                    </w:rPr>
                  </w:pPr>
                  <w:r w:rsidRPr="006214E8">
                    <w:rPr>
                      <w:rFonts w:ascii="Carlito" w:hAnsi="Carlito"/>
                      <w:lang w:val="en-US"/>
                    </w:rPr>
                    <w:t>8. Week</w:t>
                  </w:r>
                </w:p>
              </w:tc>
              <w:tc>
                <w:tcPr>
                  <w:tcW w:w="7786" w:type="dxa"/>
                </w:tcPr>
                <w:p w14:paraId="5303C8BF" w14:textId="5222B125" w:rsidR="00AF3427" w:rsidRPr="006214E8" w:rsidRDefault="00AF3427" w:rsidP="00AF3427">
                  <w:pPr>
                    <w:jc w:val="both"/>
                    <w:rPr>
                      <w:rFonts w:ascii="Carlito" w:hAnsi="Carlito"/>
                      <w:lang w:val="en-US"/>
                    </w:rPr>
                  </w:pPr>
                  <w:r w:rsidRPr="006214E8">
                    <w:rPr>
                      <w:rFonts w:ascii="Carlito" w:hAnsi="Carlito"/>
                      <w:lang w:val="en-US"/>
                    </w:rPr>
                    <w:t>Midterm Week</w:t>
                  </w:r>
                </w:p>
              </w:tc>
            </w:tr>
            <w:tr w:rsidR="00AF3427" w:rsidRPr="002E6734" w14:paraId="086A26ED" w14:textId="77777777" w:rsidTr="00651F0F">
              <w:tc>
                <w:tcPr>
                  <w:tcW w:w="1024" w:type="dxa"/>
                </w:tcPr>
                <w:p w14:paraId="53FE5CC0" w14:textId="02B6E4C2" w:rsidR="00AF3427" w:rsidRPr="006214E8" w:rsidRDefault="00AF3427" w:rsidP="00AF3427">
                  <w:pPr>
                    <w:jc w:val="both"/>
                    <w:rPr>
                      <w:rFonts w:ascii="Carlito" w:hAnsi="Carlito"/>
                      <w:lang w:val="en-US"/>
                    </w:rPr>
                  </w:pPr>
                  <w:r w:rsidRPr="006214E8">
                    <w:rPr>
                      <w:rFonts w:ascii="Carlito" w:hAnsi="Carlito"/>
                      <w:lang w:val="en-US"/>
                    </w:rPr>
                    <w:t>9. Week</w:t>
                  </w:r>
                </w:p>
              </w:tc>
              <w:tc>
                <w:tcPr>
                  <w:tcW w:w="7786" w:type="dxa"/>
                </w:tcPr>
                <w:p w14:paraId="603911BB" w14:textId="1F38225F" w:rsidR="00AF3427" w:rsidRPr="006214E8" w:rsidRDefault="003152DE" w:rsidP="00AF3427">
                  <w:pPr>
                    <w:jc w:val="both"/>
                    <w:rPr>
                      <w:rFonts w:ascii="Carlito" w:hAnsi="Carlito"/>
                      <w:lang w:val="en-US"/>
                    </w:rPr>
                  </w:pPr>
                  <w:r w:rsidRPr="006214E8">
                    <w:rPr>
                      <w:rFonts w:ascii="Carlito" w:hAnsi="Carlito"/>
                      <w:lang w:val="en-US"/>
                    </w:rPr>
                    <w:t>Midterm Week</w:t>
                  </w:r>
                </w:p>
              </w:tc>
            </w:tr>
            <w:tr w:rsidR="00AF3427" w:rsidRPr="002E6734" w14:paraId="2875823C" w14:textId="77777777" w:rsidTr="00651F0F">
              <w:tc>
                <w:tcPr>
                  <w:tcW w:w="1024" w:type="dxa"/>
                </w:tcPr>
                <w:p w14:paraId="6B640C77" w14:textId="2613E080" w:rsidR="00AF3427" w:rsidRPr="006214E8" w:rsidRDefault="00AF3427" w:rsidP="00AF3427">
                  <w:pPr>
                    <w:jc w:val="both"/>
                    <w:rPr>
                      <w:rFonts w:ascii="Carlito" w:hAnsi="Carlito"/>
                      <w:lang w:val="en-US"/>
                    </w:rPr>
                  </w:pPr>
                  <w:r w:rsidRPr="006214E8">
                    <w:rPr>
                      <w:rFonts w:ascii="Carlito" w:hAnsi="Carlito"/>
                      <w:lang w:val="en-US"/>
                    </w:rPr>
                    <w:t>10.</w:t>
                  </w:r>
                  <w:r w:rsidR="002B3EE9">
                    <w:rPr>
                      <w:rFonts w:ascii="Carlito" w:hAnsi="Carlito"/>
                      <w:lang w:val="en-US"/>
                    </w:rPr>
                    <w:t>W</w:t>
                  </w:r>
                  <w:r w:rsidRPr="006214E8">
                    <w:rPr>
                      <w:rFonts w:ascii="Carlito" w:hAnsi="Carlito"/>
                      <w:lang w:val="en-US"/>
                    </w:rPr>
                    <w:t>eek</w:t>
                  </w:r>
                </w:p>
              </w:tc>
              <w:tc>
                <w:tcPr>
                  <w:tcW w:w="7786" w:type="dxa"/>
                </w:tcPr>
                <w:p w14:paraId="783F1E2C" w14:textId="5E75A228" w:rsidR="00AF3427" w:rsidRPr="006214E8" w:rsidRDefault="003152DE" w:rsidP="00AF3427">
                  <w:pPr>
                    <w:jc w:val="both"/>
                    <w:rPr>
                      <w:rFonts w:ascii="Carlito" w:hAnsi="Carlito"/>
                      <w:lang w:val="en-US"/>
                    </w:rPr>
                  </w:pPr>
                  <w:r w:rsidRPr="006214E8">
                    <w:rPr>
                      <w:rFonts w:ascii="Carlito" w:hAnsi="Carlito"/>
                      <w:lang w:val="en-US"/>
                    </w:rPr>
                    <w:t>Decision-making in Critical Moments: The Case of Cuban Missile Crisis</w:t>
                  </w:r>
                </w:p>
              </w:tc>
            </w:tr>
            <w:tr w:rsidR="00AF3427" w:rsidRPr="002E6734" w14:paraId="4CFD8761" w14:textId="77777777" w:rsidTr="00651F0F">
              <w:tc>
                <w:tcPr>
                  <w:tcW w:w="1024" w:type="dxa"/>
                </w:tcPr>
                <w:p w14:paraId="3F120233" w14:textId="63984652" w:rsidR="00AF3427" w:rsidRPr="006214E8" w:rsidRDefault="00AF3427" w:rsidP="00AF3427">
                  <w:pPr>
                    <w:jc w:val="both"/>
                    <w:rPr>
                      <w:rFonts w:ascii="Carlito" w:hAnsi="Carlito"/>
                      <w:lang w:val="en-US"/>
                    </w:rPr>
                  </w:pPr>
                  <w:r w:rsidRPr="006214E8">
                    <w:rPr>
                      <w:rFonts w:ascii="Carlito" w:hAnsi="Carlito"/>
                      <w:lang w:val="en-US"/>
                    </w:rPr>
                    <w:t>11.Week</w:t>
                  </w:r>
                </w:p>
              </w:tc>
              <w:tc>
                <w:tcPr>
                  <w:tcW w:w="7786" w:type="dxa"/>
                </w:tcPr>
                <w:p w14:paraId="30EB4687" w14:textId="61FF0F66" w:rsidR="00AF3427" w:rsidRPr="006214E8" w:rsidRDefault="003152DE" w:rsidP="00AF3427">
                  <w:pPr>
                    <w:jc w:val="both"/>
                    <w:rPr>
                      <w:rFonts w:ascii="Carlito" w:hAnsi="Carlito"/>
                      <w:lang w:val="en-US"/>
                    </w:rPr>
                  </w:pPr>
                  <w:r w:rsidRPr="006214E8">
                    <w:rPr>
                      <w:rFonts w:ascii="Carlito" w:hAnsi="Carlito"/>
                      <w:lang w:val="en-US"/>
                    </w:rPr>
                    <w:t xml:space="preserve">Discussion Session: </w:t>
                  </w:r>
                  <w:r w:rsidR="006214E8" w:rsidRPr="006214E8">
                    <w:rPr>
                      <w:rFonts w:ascii="Carlito" w:hAnsi="Carlito"/>
                      <w:lang w:val="en-US"/>
                    </w:rPr>
                    <w:t>Cuban Missile Crisis</w:t>
                  </w:r>
                </w:p>
              </w:tc>
            </w:tr>
            <w:tr w:rsidR="00AF3427" w:rsidRPr="002E6734" w14:paraId="238A262F" w14:textId="77777777" w:rsidTr="00651F0F">
              <w:tc>
                <w:tcPr>
                  <w:tcW w:w="1024" w:type="dxa"/>
                </w:tcPr>
                <w:p w14:paraId="353F6204" w14:textId="63CE9DFD" w:rsidR="00AF3427" w:rsidRPr="006214E8" w:rsidRDefault="00AF3427" w:rsidP="00AF3427">
                  <w:pPr>
                    <w:jc w:val="both"/>
                    <w:rPr>
                      <w:rFonts w:ascii="Carlito" w:hAnsi="Carlito"/>
                      <w:lang w:val="en-US"/>
                    </w:rPr>
                  </w:pPr>
                  <w:r w:rsidRPr="006214E8">
                    <w:rPr>
                      <w:rFonts w:ascii="Carlito" w:hAnsi="Carlito"/>
                      <w:lang w:val="en-US"/>
                    </w:rPr>
                    <w:t>12.Week</w:t>
                  </w:r>
                </w:p>
              </w:tc>
              <w:tc>
                <w:tcPr>
                  <w:tcW w:w="7786" w:type="dxa"/>
                </w:tcPr>
                <w:p w14:paraId="5B9FFBC2" w14:textId="54D7D486" w:rsidR="00AF3427" w:rsidRPr="006214E8" w:rsidRDefault="006214E8" w:rsidP="00AF3427">
                  <w:pPr>
                    <w:jc w:val="both"/>
                    <w:rPr>
                      <w:rFonts w:ascii="Carlito" w:hAnsi="Carlito"/>
                      <w:lang w:val="en-US"/>
                    </w:rPr>
                  </w:pPr>
                  <w:r w:rsidRPr="006214E8">
                    <w:rPr>
                      <w:rFonts w:ascii="Carlito" w:hAnsi="Carlito"/>
                      <w:lang w:val="en-US"/>
                    </w:rPr>
                    <w:t>Global Inequality (Lecture and Discussion Combined)</w:t>
                  </w:r>
                </w:p>
              </w:tc>
            </w:tr>
            <w:tr w:rsidR="00AF3427" w:rsidRPr="002E6734" w14:paraId="1B337996" w14:textId="77777777" w:rsidTr="00651F0F">
              <w:tc>
                <w:tcPr>
                  <w:tcW w:w="1024" w:type="dxa"/>
                </w:tcPr>
                <w:p w14:paraId="05E79159" w14:textId="088FE9D3" w:rsidR="00AF3427" w:rsidRPr="006214E8" w:rsidRDefault="00AF3427" w:rsidP="00AF3427">
                  <w:pPr>
                    <w:jc w:val="both"/>
                    <w:rPr>
                      <w:rFonts w:ascii="Carlito" w:hAnsi="Carlito"/>
                      <w:lang w:val="en-US"/>
                    </w:rPr>
                  </w:pPr>
                  <w:r w:rsidRPr="006214E8">
                    <w:rPr>
                      <w:rFonts w:ascii="Carlito" w:hAnsi="Carlito"/>
                      <w:lang w:val="en-US"/>
                    </w:rPr>
                    <w:t>13.Week</w:t>
                  </w:r>
                </w:p>
              </w:tc>
              <w:tc>
                <w:tcPr>
                  <w:tcW w:w="7786" w:type="dxa"/>
                </w:tcPr>
                <w:p w14:paraId="1FBFC69F" w14:textId="5D7ADA3C" w:rsidR="00AF3427" w:rsidRPr="006214E8" w:rsidRDefault="006214E8" w:rsidP="00AF3427">
                  <w:pPr>
                    <w:jc w:val="both"/>
                    <w:rPr>
                      <w:rFonts w:ascii="Carlito" w:hAnsi="Carlito"/>
                      <w:lang w:val="en-US"/>
                    </w:rPr>
                  </w:pPr>
                  <w:r w:rsidRPr="006214E8">
                    <w:rPr>
                      <w:rFonts w:ascii="Carlito" w:hAnsi="Carlito"/>
                      <w:lang w:val="en-US"/>
                    </w:rPr>
                    <w:t>Climate Change (Lecture and Discussion Combined)</w:t>
                  </w:r>
                </w:p>
              </w:tc>
            </w:tr>
            <w:tr w:rsidR="00AF3427" w:rsidRPr="002E6734" w14:paraId="4E57598D" w14:textId="77777777" w:rsidTr="00651F0F">
              <w:tc>
                <w:tcPr>
                  <w:tcW w:w="1024" w:type="dxa"/>
                </w:tcPr>
                <w:p w14:paraId="20CC2F55" w14:textId="140A013F" w:rsidR="00AF3427" w:rsidRPr="006214E8" w:rsidRDefault="00AF3427" w:rsidP="00AF3427">
                  <w:pPr>
                    <w:jc w:val="both"/>
                    <w:rPr>
                      <w:rFonts w:ascii="Carlito" w:hAnsi="Carlito"/>
                      <w:lang w:val="en-US"/>
                    </w:rPr>
                  </w:pPr>
                  <w:r w:rsidRPr="006214E8">
                    <w:rPr>
                      <w:rFonts w:ascii="Carlito" w:hAnsi="Carlito"/>
                      <w:lang w:val="en-US"/>
                    </w:rPr>
                    <w:t>14.Week</w:t>
                  </w:r>
                </w:p>
              </w:tc>
              <w:tc>
                <w:tcPr>
                  <w:tcW w:w="7786" w:type="dxa"/>
                </w:tcPr>
                <w:p w14:paraId="5440A06D" w14:textId="3BB00F65" w:rsidR="00AF3427" w:rsidRPr="006214E8" w:rsidRDefault="006214E8" w:rsidP="00AF3427">
                  <w:pPr>
                    <w:jc w:val="both"/>
                    <w:rPr>
                      <w:rFonts w:ascii="Carlito" w:hAnsi="Carlito"/>
                      <w:lang w:val="en-US"/>
                    </w:rPr>
                  </w:pPr>
                  <w:r w:rsidRPr="006214E8">
                    <w:rPr>
                      <w:rFonts w:ascii="Carlito" w:hAnsi="Carlito"/>
                      <w:lang w:val="en-US"/>
                    </w:rPr>
                    <w:t>Chess: A Metaphor for International Politics?</w:t>
                  </w:r>
                </w:p>
              </w:tc>
            </w:tr>
            <w:tr w:rsidR="00AF3427" w:rsidRPr="002E6734" w14:paraId="0A7F942A" w14:textId="77777777" w:rsidTr="00651F0F">
              <w:tc>
                <w:tcPr>
                  <w:tcW w:w="1024" w:type="dxa"/>
                </w:tcPr>
                <w:p w14:paraId="08135BE7" w14:textId="5EDE8D33" w:rsidR="00AF3427" w:rsidRPr="006214E8" w:rsidRDefault="00AF3427" w:rsidP="00AF3427">
                  <w:pPr>
                    <w:jc w:val="both"/>
                    <w:rPr>
                      <w:rFonts w:ascii="Carlito" w:hAnsi="Carlito"/>
                      <w:lang w:val="en-US"/>
                    </w:rPr>
                  </w:pPr>
                  <w:r w:rsidRPr="006214E8">
                    <w:rPr>
                      <w:rFonts w:ascii="Carlito" w:hAnsi="Carlito"/>
                      <w:lang w:val="en-US"/>
                    </w:rPr>
                    <w:t>15.Week</w:t>
                  </w:r>
                </w:p>
              </w:tc>
              <w:tc>
                <w:tcPr>
                  <w:tcW w:w="7786" w:type="dxa"/>
                </w:tcPr>
                <w:p w14:paraId="69B9730C" w14:textId="20EEB9F7" w:rsidR="00AF3427" w:rsidRPr="006214E8" w:rsidRDefault="006214E8" w:rsidP="00AF3427">
                  <w:pPr>
                    <w:jc w:val="both"/>
                    <w:rPr>
                      <w:rFonts w:ascii="Carlito" w:hAnsi="Carlito"/>
                      <w:lang w:val="en-US"/>
                    </w:rPr>
                  </w:pPr>
                  <w:r w:rsidRPr="006214E8">
                    <w:rPr>
                      <w:rFonts w:ascii="Carlito" w:hAnsi="Carlito"/>
                      <w:lang w:val="en-US"/>
                    </w:rPr>
                    <w:t>Holiday</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162E9CBF"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311646D7" w14:textId="153FFC2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33259E7C" w:rsidR="002E6734" w:rsidRPr="002E6734" w:rsidRDefault="00F26465" w:rsidP="002E6734">
                  <w:pPr>
                    <w:rPr>
                      <w:rFonts w:ascii="Calibri" w:hAnsi="Calibri" w:cs="Calibri"/>
                      <w:sz w:val="20"/>
                      <w:szCs w:val="20"/>
                      <w:lang w:val="en-US"/>
                    </w:rPr>
                  </w:pPr>
                  <w:r>
                    <w:rPr>
                      <w:rFonts w:ascii="Calibri" w:hAnsi="Calibri" w:cs="Calibri"/>
                      <w:sz w:val="20"/>
                      <w:szCs w:val="20"/>
                      <w:lang w:val="en-US"/>
                    </w:rPr>
                    <w:t>5</w:t>
                  </w:r>
                </w:p>
              </w:tc>
              <w:tc>
                <w:tcPr>
                  <w:tcW w:w="3020" w:type="dxa"/>
                </w:tcPr>
                <w:p w14:paraId="0219E462" w14:textId="6F39C45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35</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4CA002D7"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4618C465" w14:textId="740C7644"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199CAF9"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6DAE8E9F" w14:textId="1D21F74E"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52B9BA9D" w:rsidR="002E6734" w:rsidRPr="002E6734" w:rsidRDefault="00F2646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11D62A74" w14:textId="34F5969E"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35</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3B1934B1"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0E12A1AC" w14:textId="51073D78"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1DCE1643" w:rsidR="002E6734" w:rsidRPr="002E6734" w:rsidRDefault="00F2646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4CB1CE42"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F26465">
                    <w:rPr>
                      <w:rFonts w:ascii="Calibri" w:hAnsi="Calibri" w:cs="Calibri"/>
                      <w:sz w:val="20"/>
                      <w:szCs w:val="20"/>
                      <w:lang w:val="en-US"/>
                    </w:rPr>
                    <w:t>30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jGzsDS3sDA0MjFX0lEKTi0uzszPAykwrgUA3D+GuywAAAA="/>
  </w:docVars>
  <w:rsids>
    <w:rsidRoot w:val="00630C60"/>
    <w:rsid w:val="00035252"/>
    <w:rsid w:val="0003589E"/>
    <w:rsid w:val="000441DB"/>
    <w:rsid w:val="00046374"/>
    <w:rsid w:val="001746AA"/>
    <w:rsid w:val="001B4555"/>
    <w:rsid w:val="002B2984"/>
    <w:rsid w:val="002B3EE9"/>
    <w:rsid w:val="002D0CC2"/>
    <w:rsid w:val="002D613C"/>
    <w:rsid w:val="002E6734"/>
    <w:rsid w:val="00305F76"/>
    <w:rsid w:val="00311158"/>
    <w:rsid w:val="003152DE"/>
    <w:rsid w:val="003404B8"/>
    <w:rsid w:val="00341C9A"/>
    <w:rsid w:val="003642A1"/>
    <w:rsid w:val="003A3962"/>
    <w:rsid w:val="004134A5"/>
    <w:rsid w:val="00416BD3"/>
    <w:rsid w:val="004270F5"/>
    <w:rsid w:val="00440654"/>
    <w:rsid w:val="00464A63"/>
    <w:rsid w:val="0048206C"/>
    <w:rsid w:val="004C48BD"/>
    <w:rsid w:val="004F72C6"/>
    <w:rsid w:val="00581ACC"/>
    <w:rsid w:val="00597347"/>
    <w:rsid w:val="005A092A"/>
    <w:rsid w:val="0060493D"/>
    <w:rsid w:val="006214E8"/>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84260"/>
    <w:rsid w:val="008B7E4A"/>
    <w:rsid w:val="008F5B0A"/>
    <w:rsid w:val="009132EF"/>
    <w:rsid w:val="00930D25"/>
    <w:rsid w:val="009D039A"/>
    <w:rsid w:val="00A27A75"/>
    <w:rsid w:val="00A62A20"/>
    <w:rsid w:val="00A653F5"/>
    <w:rsid w:val="00A85300"/>
    <w:rsid w:val="00AE7B0A"/>
    <w:rsid w:val="00AF3427"/>
    <w:rsid w:val="00B76BB2"/>
    <w:rsid w:val="00BB53D6"/>
    <w:rsid w:val="00BC180B"/>
    <w:rsid w:val="00BF3EFD"/>
    <w:rsid w:val="00C0698A"/>
    <w:rsid w:val="00C63DB9"/>
    <w:rsid w:val="00CC3B7A"/>
    <w:rsid w:val="00CC7DF4"/>
    <w:rsid w:val="00CE0C59"/>
    <w:rsid w:val="00D26E72"/>
    <w:rsid w:val="00DB2A49"/>
    <w:rsid w:val="00DD6DCD"/>
    <w:rsid w:val="00E01395"/>
    <w:rsid w:val="00E325D4"/>
    <w:rsid w:val="00E812C2"/>
    <w:rsid w:val="00EB0594"/>
    <w:rsid w:val="00EE3856"/>
    <w:rsid w:val="00EF389B"/>
    <w:rsid w:val="00F259CA"/>
    <w:rsid w:val="00F26465"/>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2025-10-24T08:12:00Z</dcterms:created>
  <dcterms:modified xsi:type="dcterms:W3CDTF">2025-10-24T08:12:00Z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