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782AB86B" wp14:editId="19F1CA39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7D410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A45E5F" w:rsidRPr="00A45E5F">
              <w:rPr>
                <w:rFonts w:asciiTheme="minorHAnsi" w:hAnsiTheme="minorHAnsi" w:cstheme="minorHAnsi"/>
                <w:sz w:val="20"/>
                <w:szCs w:val="20"/>
              </w:rPr>
              <w:t>MATH 623 Introduction to Data Mining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85783A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1B73D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336BC2" w:rsidRPr="00BD090F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Etud</w:t>
            </w:r>
            <w:proofErr w:type="spellEnd"/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:rsidTr="005A4AF0">
        <w:trPr>
          <w:trHeight w:hRule="exact" w:val="133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B36" w:rsidRPr="005223DA" w:rsidRDefault="00A45E5F" w:rsidP="00A45E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45E5F">
              <w:rPr>
                <w:rFonts w:asciiTheme="minorHAnsi" w:hAnsiTheme="minorHAnsi" w:cstheme="minorHAnsi"/>
              </w:rPr>
              <w:t xml:space="preserve">Supervised learning, Decision theory, Parametric Methods, Nonparametric Methods, Dimension reduction algorithms, Clustering and classification, Decision trees, Linear discrimination, Multilayer perceptron, Radial basis function, Support vector machine, Graphical Modelling, Markov models, </w:t>
            </w:r>
            <w:r w:rsidR="00125AD1" w:rsidRPr="00125AD1">
              <w:rPr>
                <w:rFonts w:asciiTheme="minorHAnsi" w:hAnsiTheme="minorHAnsi" w:cstheme="minorHAnsi"/>
              </w:rPr>
              <w:t>Combining multiple learners.</w:t>
            </w:r>
            <w:bookmarkStart w:id="0" w:name="_GoBack"/>
            <w:bookmarkEnd w:id="0"/>
          </w:p>
        </w:tc>
      </w:tr>
      <w:tr w:rsidR="00336BC2" w:rsidRPr="00BD090F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Supervised learning</w:t>
                  </w:r>
                </w:p>
              </w:tc>
            </w:tr>
            <w:tr w:rsidR="00472BB0" w:rsidRPr="003064E3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B73D8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Decision theory</w:t>
                  </w:r>
                </w:p>
              </w:tc>
            </w:tr>
            <w:tr w:rsidR="00472BB0" w:rsidRPr="003064E3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A45E5F" w:rsidP="00654905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Parametric m</w:t>
                  </w:r>
                  <w:r w:rsidRPr="00A45E5F">
                    <w:rPr>
                      <w:rFonts w:asciiTheme="minorHAnsi" w:hAnsiTheme="minorHAnsi" w:cstheme="minorHAnsi"/>
                    </w:rPr>
                    <w:t>ethods</w:t>
                  </w:r>
                  <w:r>
                    <w:rPr>
                      <w:rFonts w:asciiTheme="minorHAnsi" w:hAnsiTheme="minorHAnsi" w:cstheme="minorHAnsi"/>
                    </w:rPr>
                    <w:t>, n</w:t>
                  </w:r>
                  <w:r>
                    <w:rPr>
                      <w:rFonts w:asciiTheme="minorHAnsi" w:hAnsiTheme="minorHAnsi" w:cstheme="minorHAnsi"/>
                    </w:rPr>
                    <w:t>onparametric m</w:t>
                  </w:r>
                  <w:r w:rsidRPr="00A45E5F">
                    <w:rPr>
                      <w:rFonts w:asciiTheme="minorHAnsi" w:hAnsiTheme="minorHAnsi" w:cstheme="minorHAnsi"/>
                    </w:rPr>
                    <w:t>ethods</w:t>
                  </w:r>
                </w:p>
              </w:tc>
            </w:tr>
            <w:tr w:rsidR="00472BB0" w:rsidRPr="003064E3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Dimension reduction algorithms</w:t>
                  </w:r>
                </w:p>
              </w:tc>
            </w:tr>
            <w:tr w:rsidR="00472BB0" w:rsidRPr="003064E3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Clustering and classification</w:t>
                  </w:r>
                </w:p>
              </w:tc>
            </w:tr>
            <w:tr w:rsidR="00472BB0" w:rsidRPr="003064E3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Decision trees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A45E5F" w:rsidP="00654905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Linear discrimination</w:t>
                  </w:r>
                </w:p>
              </w:tc>
            </w:tr>
            <w:tr w:rsidR="001A1DBC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1A1DBC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Multilayer perceptron</w:t>
                  </w:r>
                </w:p>
              </w:tc>
            </w:tr>
            <w:tr w:rsidR="00472BB0" w:rsidRPr="003064E3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D92B6F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D92B6F">
                    <w:rPr>
                      <w:rFonts w:asciiTheme="minorHAnsi" w:eastAsiaTheme="minorHAnsi" w:hAnsiTheme="minorHAnsi" w:cstheme="minorHAnsi"/>
                    </w:rPr>
                    <w:t>Review,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85783A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Radial basis function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Support vector machine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Gra</w:t>
                  </w:r>
                  <w:r>
                    <w:rPr>
                      <w:rFonts w:asciiTheme="minorHAnsi" w:hAnsiTheme="minorHAnsi" w:cstheme="minorHAnsi"/>
                    </w:rPr>
                    <w:t>phical m</w:t>
                  </w:r>
                  <w:r w:rsidRPr="00A45E5F">
                    <w:rPr>
                      <w:rFonts w:asciiTheme="minorHAnsi" w:hAnsiTheme="minorHAnsi" w:cstheme="minorHAnsi"/>
                    </w:rPr>
                    <w:t>odelling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Markov models</w:t>
                  </w:r>
                </w:p>
              </w:tc>
            </w:tr>
            <w:tr w:rsidR="00472BB0" w:rsidRPr="003064E3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:rsidR="00472BB0" w:rsidRPr="003064E3" w:rsidRDefault="00A45E5F" w:rsidP="001A1DBC">
                  <w:pPr>
                    <w:rPr>
                      <w:rFonts w:asciiTheme="minorHAnsi" w:hAnsiTheme="minorHAnsi" w:cstheme="minorHAnsi"/>
                    </w:rPr>
                  </w:pPr>
                  <w:r w:rsidRPr="00A45E5F">
                    <w:rPr>
                      <w:rFonts w:asciiTheme="minorHAnsi" w:hAnsiTheme="minorHAnsi" w:cstheme="minorHAnsi"/>
                    </w:rPr>
                    <w:t>Combining multiple learners</w:t>
                  </w:r>
                </w:p>
              </w:tc>
            </w:tr>
          </w:tbl>
          <w:p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:rsidTr="00C21517">
        <w:trPr>
          <w:trHeight w:val="70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A6" w:rsidRPr="009B7606" w:rsidRDefault="00A45E5F" w:rsidP="00125AD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The aim of this course is to provide an introduction data mining. The course will focus on fundamental methods</w:t>
            </w:r>
            <w:r w:rsidR="00125A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,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concepts</w:t>
            </w:r>
            <w:r w:rsidR="00125A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and algorithms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in data mini</w:t>
            </w:r>
            <w:r w:rsidR="00125AD1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g.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B7606" w:rsidRDefault="003A39DF" w:rsidP="001B73D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:rsidR="00C21517" w:rsidRDefault="00A45E5F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basic tools and methods used in data mining.</w:t>
            </w:r>
          </w:p>
          <w:p w:rsidR="00A45E5F" w:rsidRDefault="00125AD1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Apply basic methods to solve problems in data mining</w:t>
            </w:r>
          </w:p>
          <w:p w:rsidR="00125AD1" w:rsidRPr="003064E3" w:rsidRDefault="00125AD1" w:rsidP="009B5E7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Obtain the mathematical background in main algorithms used in data mining</w:t>
            </w:r>
          </w:p>
        </w:tc>
      </w:tr>
      <w:tr w:rsidR="00336BC2" w:rsidRPr="00BD090F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Textbook and /or References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:rsidR="00C21517" w:rsidRDefault="00125AD1" w:rsidP="00125AD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5AD1">
              <w:rPr>
                <w:rFonts w:asciiTheme="minorHAnsi" w:hAnsiTheme="minorHAnsi" w:cstheme="minorHAnsi"/>
                <w:sz w:val="20"/>
                <w:szCs w:val="20"/>
              </w:rPr>
              <w:t xml:space="preserve">Introduction to Data Mining, Pang-Ning Tan, Michael Steinbach, </w:t>
            </w:r>
            <w:proofErr w:type="spellStart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>Anuj</w:t>
            </w:r>
            <w:proofErr w:type="spellEnd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>Karpatne</w:t>
            </w:r>
            <w:proofErr w:type="spellEnd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>Vipin</w:t>
            </w:r>
            <w:proofErr w:type="spellEnd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 xml:space="preserve"> Kumar. Pearson.</w:t>
            </w:r>
          </w:p>
          <w:p w:rsidR="00125AD1" w:rsidRPr="0081006C" w:rsidRDefault="00125AD1" w:rsidP="00125AD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Data Mining: Concepts and Techniques, </w:t>
            </w:r>
            <w:proofErr w:type="spellStart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>Jiawei</w:t>
            </w:r>
            <w:proofErr w:type="spellEnd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 xml:space="preserve"> Han, Jian Pei, </w:t>
            </w:r>
            <w:proofErr w:type="spellStart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>Micheline</w:t>
            </w:r>
            <w:proofErr w:type="spellEnd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25AD1">
              <w:rPr>
                <w:rFonts w:asciiTheme="minorHAnsi" w:hAnsiTheme="minorHAnsi" w:cstheme="minorHAnsi"/>
                <w:sz w:val="20"/>
                <w:szCs w:val="20"/>
              </w:rPr>
              <w:t>Kamber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Elseiver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 2012.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proofErr w:type="spellStart"/>
            <w:r w:rsidRPr="00BD090F">
              <w:rPr>
                <w:sz w:val="20"/>
                <w:szCs w:val="20"/>
                <w:lang w:val="en-US"/>
              </w:rPr>
              <w:t>Quizes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</w:t>
            </w:r>
            <w:proofErr w:type="spellStart"/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c.r.study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E21EE8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6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0F6735"/>
    <w:rsid w:val="00101B83"/>
    <w:rsid w:val="0010766E"/>
    <w:rsid w:val="00120AA4"/>
    <w:rsid w:val="00125AD1"/>
    <w:rsid w:val="001361B0"/>
    <w:rsid w:val="001540AD"/>
    <w:rsid w:val="00181978"/>
    <w:rsid w:val="001A1DBC"/>
    <w:rsid w:val="001B22A0"/>
    <w:rsid w:val="001B73D8"/>
    <w:rsid w:val="001E6592"/>
    <w:rsid w:val="00226EBC"/>
    <w:rsid w:val="002418E9"/>
    <w:rsid w:val="00251F50"/>
    <w:rsid w:val="0029446A"/>
    <w:rsid w:val="003064E3"/>
    <w:rsid w:val="00336BC2"/>
    <w:rsid w:val="00395F2F"/>
    <w:rsid w:val="003A39DF"/>
    <w:rsid w:val="003A5E7B"/>
    <w:rsid w:val="003D293E"/>
    <w:rsid w:val="003D3042"/>
    <w:rsid w:val="003E151D"/>
    <w:rsid w:val="003E3EE4"/>
    <w:rsid w:val="003E5638"/>
    <w:rsid w:val="003F17FE"/>
    <w:rsid w:val="0047219F"/>
    <w:rsid w:val="00472BB0"/>
    <w:rsid w:val="00485A82"/>
    <w:rsid w:val="00493027"/>
    <w:rsid w:val="004A20C0"/>
    <w:rsid w:val="004C1E10"/>
    <w:rsid w:val="004E4999"/>
    <w:rsid w:val="005143BE"/>
    <w:rsid w:val="00515CDC"/>
    <w:rsid w:val="005223DA"/>
    <w:rsid w:val="005A15EE"/>
    <w:rsid w:val="005A4AF0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47DD6"/>
    <w:rsid w:val="007D410F"/>
    <w:rsid w:val="007F3439"/>
    <w:rsid w:val="0081006C"/>
    <w:rsid w:val="0085783A"/>
    <w:rsid w:val="008F57AB"/>
    <w:rsid w:val="00903D80"/>
    <w:rsid w:val="00911EB1"/>
    <w:rsid w:val="00964D92"/>
    <w:rsid w:val="009775B2"/>
    <w:rsid w:val="009940C2"/>
    <w:rsid w:val="009B5E72"/>
    <w:rsid w:val="009B7606"/>
    <w:rsid w:val="009D78B7"/>
    <w:rsid w:val="009E29C0"/>
    <w:rsid w:val="009E3B36"/>
    <w:rsid w:val="009E649C"/>
    <w:rsid w:val="00A177DE"/>
    <w:rsid w:val="00A32375"/>
    <w:rsid w:val="00A34009"/>
    <w:rsid w:val="00A45E5F"/>
    <w:rsid w:val="00A55A31"/>
    <w:rsid w:val="00A6535D"/>
    <w:rsid w:val="00AB5364"/>
    <w:rsid w:val="00B06BCE"/>
    <w:rsid w:val="00B12B58"/>
    <w:rsid w:val="00B3315E"/>
    <w:rsid w:val="00B441C8"/>
    <w:rsid w:val="00BD090F"/>
    <w:rsid w:val="00C21517"/>
    <w:rsid w:val="00C4554F"/>
    <w:rsid w:val="00C73E63"/>
    <w:rsid w:val="00CD22DA"/>
    <w:rsid w:val="00CE63FF"/>
    <w:rsid w:val="00D129D1"/>
    <w:rsid w:val="00D2736E"/>
    <w:rsid w:val="00D56A2A"/>
    <w:rsid w:val="00D76555"/>
    <w:rsid w:val="00D92B6F"/>
    <w:rsid w:val="00DC7E81"/>
    <w:rsid w:val="00E21EE8"/>
    <w:rsid w:val="00E248ED"/>
    <w:rsid w:val="00E56E4A"/>
    <w:rsid w:val="00E6074E"/>
    <w:rsid w:val="00E74DE6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D882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Hp</cp:lastModifiedBy>
  <cp:revision>27</cp:revision>
  <dcterms:created xsi:type="dcterms:W3CDTF">2019-09-17T12:36:00Z</dcterms:created>
  <dcterms:modified xsi:type="dcterms:W3CDTF">2020-11-07T22:42:00Z</dcterms:modified>
</cp:coreProperties>
</file>