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E98A8F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CA3D1D" w:rsidRPr="00CA3D1D">
              <w:rPr>
                <w:b/>
                <w:lang w:val="en-US"/>
              </w:rPr>
              <w:t>DİN MUSİKİSİ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68A9A71A" w:rsidR="00867237" w:rsidRPr="00CA3D1D" w:rsidRDefault="00DC4380" w:rsidP="00423F35">
            <w:pPr>
              <w:pStyle w:val="TableParagraph"/>
              <w:ind w:left="62" w:right="47"/>
              <w:jc w:val="center"/>
            </w:pPr>
            <w:r w:rsidRPr="00DC4380">
              <w:t>TM</w:t>
            </w:r>
            <w:r w:rsidR="00533F93">
              <w:t>41</w:t>
            </w:r>
            <w:r w:rsidRPr="00DC4380">
              <w:t xml:space="preserve">3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0B5B1CDB"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rsidR="00533F93">
              <w:t>V</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A5A7D" w:rsidRPr="00CA3D1D" w14:paraId="54DA54A5" w14:textId="77777777" w:rsidTr="00C60EC6">
        <w:trPr>
          <w:trHeight w:val="734"/>
        </w:trPr>
        <w:tc>
          <w:tcPr>
            <w:tcW w:w="1418" w:type="dxa"/>
            <w:vAlign w:val="center"/>
          </w:tcPr>
          <w:p w14:paraId="60643D40" w14:textId="2A242067" w:rsidR="000A5A7D" w:rsidRPr="00CA3D1D" w:rsidRDefault="000A5A7D" w:rsidP="000A5A7D">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51ABAD77" w14:textId="77777777" w:rsidTr="000A5A7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45B8D910" w14:textId="77777777" w:rsidTr="000A5A7D">
                    <w:trPr>
                      <w:trHeight w:val="1125"/>
                    </w:trPr>
                    <w:tc>
                      <w:tcPr>
                        <w:tcW w:w="9081" w:type="dxa"/>
                        <w:vAlign w:val="center"/>
                      </w:tcPr>
                      <w:p w14:paraId="62BB47A8" w14:textId="77777777" w:rsidR="000A5A7D" w:rsidRPr="005A7A41" w:rsidRDefault="000A5A7D" w:rsidP="000A5A7D">
                        <w:pPr>
                          <w:pStyle w:val="TableParagraph"/>
                          <w:jc w:val="both"/>
                          <w:rPr>
                            <w:sz w:val="20"/>
                          </w:rPr>
                        </w:pPr>
                        <w:r w:rsidRPr="005A7A41">
                          <w:rPr>
                            <w:sz w:val="20"/>
                          </w:rPr>
                          <w:t xml:space="preserve"> Prof. Dr. Burcu Avcı Akbel / burcuavciakbel@aybu.edu.tr</w:t>
                        </w:r>
                      </w:p>
                    </w:tc>
                  </w:tr>
                </w:tbl>
                <w:p w14:paraId="5F6C1D44" w14:textId="77777777" w:rsidR="000A5A7D" w:rsidRPr="005A7A41" w:rsidRDefault="000A5A7D" w:rsidP="000A5A7D">
                  <w:pPr>
                    <w:pStyle w:val="TableParagraph"/>
                    <w:jc w:val="both"/>
                    <w:rPr>
                      <w:sz w:val="20"/>
                    </w:rPr>
                  </w:pPr>
                </w:p>
              </w:tc>
            </w:tr>
          </w:tbl>
          <w:p w14:paraId="1ABCB78D" w14:textId="7BD98474" w:rsidR="000A5A7D" w:rsidRPr="00CA3D1D" w:rsidRDefault="000A5A7D" w:rsidP="000A5A7D">
            <w:pPr>
              <w:pStyle w:val="TableParagraph"/>
              <w:jc w:val="both"/>
            </w:pPr>
          </w:p>
        </w:tc>
      </w:tr>
      <w:tr w:rsidR="000A5A7D" w:rsidRPr="00CA3D1D" w14:paraId="644DE186" w14:textId="77777777" w:rsidTr="00C60EC6">
        <w:trPr>
          <w:trHeight w:val="734"/>
        </w:trPr>
        <w:tc>
          <w:tcPr>
            <w:tcW w:w="1418" w:type="dxa"/>
            <w:vAlign w:val="center"/>
          </w:tcPr>
          <w:p w14:paraId="24CBC522" w14:textId="27CC6FD9" w:rsidR="000A5A7D" w:rsidRPr="00CA3D1D" w:rsidRDefault="000A5A7D" w:rsidP="000A5A7D">
            <w:pPr>
              <w:pStyle w:val="TableParagraph"/>
              <w:spacing w:before="16"/>
              <w:jc w:val="center"/>
              <w:rPr>
                <w:b/>
              </w:rPr>
            </w:pPr>
            <w:r w:rsidRPr="00CA3D1D">
              <w:rPr>
                <w:b/>
              </w:rPr>
              <w:t>Öğrenci Görüşme Saatleri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380F9A47" w14:textId="77777777" w:rsidTr="000A5A7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3A64991B" w14:textId="77777777" w:rsidTr="00445058">
                    <w:trPr>
                      <w:trHeight w:val="734"/>
                    </w:trPr>
                    <w:tc>
                      <w:tcPr>
                        <w:tcW w:w="9081" w:type="dxa"/>
                        <w:vAlign w:val="center"/>
                      </w:tcPr>
                      <w:p w14:paraId="2C00EBD8" w14:textId="77777777" w:rsidR="000A5A7D" w:rsidRPr="005A7A41" w:rsidRDefault="000A5A7D" w:rsidP="000A5A7D">
                        <w:pPr>
                          <w:pStyle w:val="TableParagraph"/>
                          <w:jc w:val="both"/>
                          <w:rPr>
                            <w:sz w:val="20"/>
                          </w:rPr>
                        </w:pPr>
                        <w:r w:rsidRPr="005A7A41">
                          <w:rPr>
                            <w:b/>
                            <w:bCs/>
                            <w:sz w:val="20"/>
                          </w:rPr>
                          <w:t xml:space="preserve">  </w:t>
                        </w:r>
                        <w:r w:rsidRPr="005A7A41">
                          <w:rPr>
                            <w:sz w:val="20"/>
                          </w:rPr>
                          <w:t>Pazartesi 12.30-13.30 / 303</w:t>
                        </w:r>
                      </w:p>
                    </w:tc>
                  </w:tr>
                </w:tbl>
                <w:p w14:paraId="40528044" w14:textId="77777777" w:rsidR="000A5A7D" w:rsidRPr="005A7A41" w:rsidRDefault="000A5A7D" w:rsidP="000A5A7D">
                  <w:pPr>
                    <w:pStyle w:val="TableParagraph"/>
                    <w:jc w:val="both"/>
                    <w:rPr>
                      <w:b/>
                      <w:bCs/>
                      <w:sz w:val="20"/>
                    </w:rPr>
                  </w:pPr>
                </w:p>
              </w:tc>
            </w:tr>
          </w:tbl>
          <w:p w14:paraId="38565D81" w14:textId="673E0E51" w:rsidR="000A5A7D" w:rsidRPr="00CA3D1D" w:rsidRDefault="000A5A7D" w:rsidP="000A5A7D">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5A7D"/>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33F93"/>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4244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2025-11-06T19:18:00Z</dcterms:created>
  <dcterms:modified xsi:type="dcterms:W3CDTF">2025-11-09T17:43:00Z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