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75D4416F"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76100C">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6AC27261" w:rsidR="00E325D4" w:rsidRPr="002E6734" w:rsidRDefault="0076100C" w:rsidP="00464A63">
            <w:pPr>
              <w:pStyle w:val="TableParagraph"/>
              <w:ind w:left="62" w:right="47"/>
              <w:jc w:val="center"/>
              <w:rPr>
                <w:sz w:val="20"/>
                <w:lang w:val="en-US"/>
              </w:rPr>
            </w:pPr>
            <w:r>
              <w:rPr>
                <w:sz w:val="20"/>
                <w:lang w:val="en-US"/>
              </w:rPr>
              <w:t>INRE 301</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40B7CD51" w:rsidR="00E325D4" w:rsidRPr="002E6734" w:rsidRDefault="0076100C" w:rsidP="00464A63">
            <w:pPr>
              <w:pStyle w:val="TableParagraph"/>
              <w:ind w:left="14"/>
              <w:jc w:val="center"/>
              <w:rPr>
                <w:sz w:val="20"/>
                <w:lang w:val="en-US"/>
              </w:rPr>
            </w:pPr>
            <w:r>
              <w:rPr>
                <w:sz w:val="20"/>
                <w:lang w:val="en-US"/>
              </w:rPr>
              <w:t>Turkish Foreign Policy I</w:t>
            </w:r>
          </w:p>
        </w:tc>
        <w:tc>
          <w:tcPr>
            <w:tcW w:w="1276" w:type="dxa"/>
            <w:vAlign w:val="center"/>
          </w:tcPr>
          <w:p w14:paraId="1CB4682D" w14:textId="7263ED77" w:rsidR="0076100C" w:rsidRPr="002E6734" w:rsidRDefault="00E325D4" w:rsidP="0076100C">
            <w:pPr>
              <w:pStyle w:val="TableParagraph"/>
              <w:jc w:val="center"/>
              <w:rPr>
                <w:sz w:val="20"/>
                <w:lang w:val="en-US"/>
              </w:rPr>
            </w:pPr>
            <w:r w:rsidRPr="002E6734">
              <w:rPr>
                <w:spacing w:val="-2"/>
                <w:sz w:val="20"/>
                <w:lang w:val="en-US"/>
              </w:rPr>
              <w:t>Compulsory</w:t>
            </w:r>
          </w:p>
          <w:p w14:paraId="2EDFD95E" w14:textId="5A6BB4A9" w:rsidR="00E325D4" w:rsidRPr="002E6734" w:rsidRDefault="00E325D4" w:rsidP="00464A63">
            <w:pPr>
              <w:pStyle w:val="TableParagraph"/>
              <w:ind w:left="4"/>
              <w:jc w:val="center"/>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591D7704" w:rsidR="00E325D4" w:rsidRPr="002E6734" w:rsidRDefault="0076100C" w:rsidP="00464A63">
            <w:pPr>
              <w:pStyle w:val="TableParagraph"/>
              <w:ind w:left="10"/>
              <w:jc w:val="center"/>
              <w:rPr>
                <w:sz w:val="20"/>
                <w:lang w:val="en-US"/>
              </w:rPr>
            </w:pPr>
            <w:r>
              <w:rPr>
                <w:sz w:val="20"/>
                <w:lang w:val="en-US"/>
              </w:rPr>
              <w:t>3/6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6ADF2453" w:rsidR="00E325D4" w:rsidRPr="002E6734" w:rsidRDefault="0076100C" w:rsidP="00464A63">
            <w:pPr>
              <w:pStyle w:val="TableParagraph"/>
              <w:ind w:left="14"/>
              <w:jc w:val="center"/>
              <w:rPr>
                <w:sz w:val="20"/>
                <w:lang w:val="en-US"/>
              </w:rPr>
            </w:pPr>
            <w:r>
              <w:rPr>
                <w:sz w:val="20"/>
                <w:lang w:val="en-US"/>
              </w:rPr>
              <w:t>-</w:t>
            </w:r>
          </w:p>
        </w:tc>
        <w:tc>
          <w:tcPr>
            <w:tcW w:w="1852" w:type="dxa"/>
            <w:vAlign w:val="center"/>
          </w:tcPr>
          <w:p w14:paraId="6E69D48B" w14:textId="6A08BB9B" w:rsidR="00E325D4" w:rsidRPr="002E6734" w:rsidRDefault="0076100C" w:rsidP="00464A63">
            <w:pPr>
              <w:pStyle w:val="TableParagraph"/>
              <w:jc w:val="center"/>
              <w:rPr>
                <w:sz w:val="20"/>
                <w:lang w:val="en-US"/>
              </w:rPr>
            </w:pPr>
            <w:r>
              <w:rPr>
                <w:sz w:val="20"/>
                <w:lang w:val="en-US"/>
              </w:rPr>
              <w:t>23.09.2025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2BD2B4F8" w:rsidR="000441DB" w:rsidRPr="002E6734" w:rsidRDefault="0076100C" w:rsidP="001746AA">
            <w:pPr>
              <w:pStyle w:val="TableParagraph"/>
              <w:jc w:val="both"/>
              <w:rPr>
                <w:sz w:val="20"/>
                <w:lang w:val="en-US"/>
              </w:rPr>
            </w:pPr>
            <w:r>
              <w:rPr>
                <w:sz w:val="20"/>
                <w:lang w:val="en-US"/>
              </w:rPr>
              <w:t xml:space="preserve"> Assoc. Prof. Muhammed </w:t>
            </w:r>
            <w:proofErr w:type="spellStart"/>
            <w:r>
              <w:rPr>
                <w:sz w:val="20"/>
                <w:lang w:val="en-US"/>
              </w:rPr>
              <w:t>Hüseyin</w:t>
            </w:r>
            <w:proofErr w:type="spellEnd"/>
            <w:r>
              <w:rPr>
                <w:sz w:val="20"/>
                <w:lang w:val="en-US"/>
              </w:rPr>
              <w:t xml:space="preserve"> </w:t>
            </w:r>
            <w:proofErr w:type="spellStart"/>
            <w:r>
              <w:rPr>
                <w:sz w:val="20"/>
                <w:lang w:val="en-US"/>
              </w:rPr>
              <w:t>Mercan</w:t>
            </w:r>
            <w:proofErr w:type="spellEnd"/>
            <w:r>
              <w:rPr>
                <w:sz w:val="20"/>
                <w:lang w:val="en-US"/>
              </w:rPr>
              <w:t xml:space="preserve"> &amp; mhmercan@aybu.edu.tr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AEAC053" w:rsidR="00EF389B" w:rsidRPr="0076100C" w:rsidRDefault="00EF389B" w:rsidP="0076100C">
            <w:pPr>
              <w:rPr>
                <w:rFonts w:ascii="Carlito" w:eastAsia="Carlito" w:hAnsi="Carlito" w:cs="Carlito"/>
                <w:sz w:val="20"/>
                <w:lang w:val="en-US"/>
              </w:rPr>
            </w:pPr>
            <w:r w:rsidRPr="002E6734">
              <w:rPr>
                <w:sz w:val="20"/>
                <w:lang w:val="en-US"/>
              </w:rPr>
              <w:t xml:space="preserve">  </w:t>
            </w:r>
            <w:r w:rsidR="0076100C" w:rsidRPr="0076100C">
              <w:rPr>
                <w:rFonts w:ascii="Carlito" w:eastAsia="Carlito" w:hAnsi="Carlito" w:cs="Carlito"/>
                <w:sz w:val="20"/>
                <w:lang w:val="en-US"/>
              </w:rPr>
              <w:t>Tuesday: 13:00-14:00</w:t>
            </w:r>
            <w:r w:rsidR="0076100C">
              <w:rPr>
                <w:rFonts w:ascii="Carlito" w:eastAsia="Carlito" w:hAnsi="Carlito" w:cs="Carlito"/>
                <w:sz w:val="20"/>
                <w:lang w:val="en-US"/>
              </w:rPr>
              <w:t xml:space="preserve"> / </w:t>
            </w:r>
            <w:r w:rsidR="0076100C" w:rsidRPr="0076100C">
              <w:rPr>
                <w:rFonts w:ascii="Carlito" w:hAnsi="Carlito" w:cs="Carlito"/>
                <w:sz w:val="20"/>
                <w:lang w:val="en-US"/>
              </w:rPr>
              <w:t>Friday: by Appointment</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31F82A85" w:rsidR="00EF389B" w:rsidRPr="002E6734" w:rsidRDefault="0076100C" w:rsidP="00EF389B">
            <w:pPr>
              <w:pStyle w:val="TableParagraph"/>
              <w:spacing w:before="54"/>
              <w:ind w:left="110"/>
              <w:jc w:val="both"/>
              <w:rPr>
                <w:sz w:val="20"/>
                <w:lang w:val="en-US"/>
              </w:rPr>
            </w:pPr>
            <w:r>
              <w:rPr>
                <w:sz w:val="20"/>
                <w:lang w:val="en-US"/>
              </w:rPr>
              <w:t xml:space="preserve">In this course, students will be informed about </w:t>
            </w:r>
            <w:proofErr w:type="spellStart"/>
            <w:r>
              <w:rPr>
                <w:sz w:val="20"/>
                <w:lang w:val="en-US"/>
              </w:rPr>
              <w:t>Türkiye’s</w:t>
            </w:r>
            <w:proofErr w:type="spellEnd"/>
            <w:r>
              <w:rPr>
                <w:sz w:val="20"/>
                <w:lang w:val="en-US"/>
              </w:rPr>
              <w:t xml:space="preserve"> foreign policy since the late Ottoman period. Students will learn the fundamentals of Turkish foreign policy, including its approaches, strategies, and related concepts. </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383825F5" w14:textId="77777777" w:rsidR="0076100C" w:rsidRDefault="0076100C" w:rsidP="0076100C">
            <w:pPr>
              <w:jc w:val="both"/>
              <w:rPr>
                <w:rFonts w:ascii="Carlito" w:eastAsia="Carlito" w:hAnsi="Carlito" w:cs="Carlito"/>
                <w:sz w:val="20"/>
                <w:lang w:val="en-US"/>
              </w:rPr>
            </w:pPr>
            <w:r w:rsidRPr="0076100C">
              <w:rPr>
                <w:rFonts w:ascii="Carlito" w:eastAsia="Carlito" w:hAnsi="Carlito" w:cs="Carlito"/>
                <w:sz w:val="20"/>
                <w:lang w:val="en-US"/>
              </w:rPr>
              <w:t>- William Hale, Turkish Foreign Policy Since 1774, 3rd Edition, London: Frank Cass, 2013.</w:t>
            </w:r>
          </w:p>
          <w:p w14:paraId="482EFEAC" w14:textId="77777777" w:rsidR="0076100C" w:rsidRPr="0076100C" w:rsidRDefault="0076100C" w:rsidP="0076100C">
            <w:pPr>
              <w:jc w:val="both"/>
              <w:rPr>
                <w:rFonts w:ascii="Carlito" w:eastAsia="Carlito" w:hAnsi="Carlito" w:cs="Carlito"/>
                <w:sz w:val="20"/>
                <w:lang w:val="en-US"/>
              </w:rPr>
            </w:pPr>
          </w:p>
          <w:p w14:paraId="5D14F75A" w14:textId="77777777" w:rsidR="0076100C" w:rsidRPr="0076100C" w:rsidRDefault="0076100C" w:rsidP="0076100C">
            <w:pPr>
              <w:jc w:val="both"/>
              <w:rPr>
                <w:rFonts w:ascii="Carlito" w:eastAsia="Carlito" w:hAnsi="Carlito" w:cs="Carlito"/>
                <w:sz w:val="20"/>
                <w:lang w:val="en-US"/>
              </w:rPr>
            </w:pPr>
            <w:r w:rsidRPr="0076100C">
              <w:rPr>
                <w:rFonts w:ascii="Carlito" w:eastAsia="Carlito" w:hAnsi="Carlito" w:cs="Carlito"/>
                <w:sz w:val="20"/>
                <w:lang w:val="en-US"/>
              </w:rPr>
              <w:t xml:space="preserve">- </w:t>
            </w:r>
            <w:proofErr w:type="spellStart"/>
            <w:r w:rsidRPr="0076100C">
              <w:rPr>
                <w:rFonts w:ascii="Carlito" w:eastAsia="Carlito" w:hAnsi="Carlito" w:cs="Carlito"/>
                <w:sz w:val="20"/>
                <w:lang w:val="en-US"/>
              </w:rPr>
              <w:t>Baskın</w:t>
            </w:r>
            <w:proofErr w:type="spellEnd"/>
            <w:r w:rsidRPr="0076100C">
              <w:rPr>
                <w:rFonts w:ascii="Carlito" w:eastAsia="Carlito" w:hAnsi="Carlito" w:cs="Carlito"/>
                <w:sz w:val="20"/>
                <w:lang w:val="en-US"/>
              </w:rPr>
              <w:t xml:space="preserve"> Oran (ed.), Turkish Foreign Policy 1919-2006, Salt Lake City: Uni. of Utah Press, 2010. </w:t>
            </w:r>
          </w:p>
          <w:p w14:paraId="6093A56F" w14:textId="08621F40" w:rsidR="00EF389B" w:rsidRPr="002E6734" w:rsidRDefault="0076100C" w:rsidP="0076100C">
            <w:pPr>
              <w:pStyle w:val="TableParagraph"/>
              <w:spacing w:before="140"/>
              <w:jc w:val="both"/>
              <w:rPr>
                <w:iCs/>
                <w:sz w:val="20"/>
                <w:lang w:val="en-US"/>
              </w:rPr>
            </w:pPr>
            <w:r w:rsidRPr="0076100C">
              <w:rPr>
                <w:sz w:val="20"/>
                <w:lang w:val="en-US"/>
              </w:rPr>
              <w:t xml:space="preserve">- Hasan </w:t>
            </w:r>
            <w:proofErr w:type="spellStart"/>
            <w:r w:rsidRPr="0076100C">
              <w:rPr>
                <w:sz w:val="20"/>
                <w:lang w:val="en-US"/>
              </w:rPr>
              <w:t>Kösebalaban</w:t>
            </w:r>
            <w:proofErr w:type="spellEnd"/>
            <w:r w:rsidRPr="0076100C">
              <w:rPr>
                <w:sz w:val="20"/>
                <w:lang w:val="en-US"/>
              </w:rPr>
              <w:t>, Turkish Foreign Policy: Islam, Nationalism, and Globalization, USA: Palgrave, 2011.</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259401BB" w:rsidR="00EF389B" w:rsidRPr="002E6734" w:rsidRDefault="0076100C" w:rsidP="00EF389B">
            <w:pPr>
              <w:pStyle w:val="TableParagraph"/>
              <w:spacing w:before="159"/>
              <w:ind w:left="110"/>
              <w:jc w:val="both"/>
              <w:rPr>
                <w:sz w:val="20"/>
                <w:lang w:val="en-US"/>
              </w:rPr>
            </w:pPr>
            <w:r>
              <w:rPr>
                <w:sz w:val="20"/>
                <w:lang w:val="en-US"/>
              </w:rPr>
              <w:t>In this course,</w:t>
            </w:r>
            <w:r w:rsidR="00293A60">
              <w:rPr>
                <w:sz w:val="20"/>
                <w:lang w:val="en-US"/>
              </w:rPr>
              <w:t xml:space="preserve"> lecture presentations and</w:t>
            </w:r>
            <w:r>
              <w:rPr>
                <w:sz w:val="20"/>
                <w:lang w:val="en-US"/>
              </w:rPr>
              <w:t xml:space="preserve"> discussions will be </w:t>
            </w:r>
            <w:r w:rsidR="002366F6">
              <w:rPr>
                <w:sz w:val="20"/>
                <w:lang w:val="en-US"/>
              </w:rPr>
              <w:t>used</w:t>
            </w:r>
            <w:r>
              <w:rPr>
                <w:sz w:val="20"/>
                <w:lang w:val="en-US"/>
              </w:rPr>
              <w:t xml:space="preserve"> as teaching methods</w:t>
            </w:r>
            <w:r w:rsidR="002366F6">
              <w:rPr>
                <w:sz w:val="20"/>
                <w:lang w:val="en-US"/>
              </w:rPr>
              <w:t>.</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293A60" w:rsidRPr="002E6734" w14:paraId="664FDED0" w14:textId="77777777" w:rsidTr="00A25E79">
              <w:trPr>
                <w:trHeight w:val="278"/>
              </w:trPr>
              <w:tc>
                <w:tcPr>
                  <w:tcW w:w="1024" w:type="dxa"/>
                </w:tcPr>
                <w:p w14:paraId="404040C5" w14:textId="130421E9" w:rsidR="00293A60" w:rsidRPr="002E6734" w:rsidRDefault="00293A60" w:rsidP="00293A60">
                  <w:pPr>
                    <w:jc w:val="both"/>
                    <w:rPr>
                      <w:sz w:val="21"/>
                      <w:szCs w:val="21"/>
                      <w:lang w:val="en-US"/>
                    </w:rPr>
                  </w:pPr>
                  <w:r w:rsidRPr="002E6734">
                    <w:rPr>
                      <w:sz w:val="21"/>
                      <w:szCs w:val="21"/>
                      <w:lang w:val="en-US"/>
                    </w:rPr>
                    <w:t>1</w:t>
                  </w:r>
                </w:p>
              </w:tc>
              <w:tc>
                <w:tcPr>
                  <w:tcW w:w="7796" w:type="dxa"/>
                </w:tcPr>
                <w:p w14:paraId="7C01A625" w14:textId="7021C9AF" w:rsidR="00293A60" w:rsidRPr="002E6734" w:rsidRDefault="00293A60" w:rsidP="00293A60">
                  <w:pPr>
                    <w:jc w:val="both"/>
                    <w:rPr>
                      <w:lang w:val="en-US"/>
                    </w:rPr>
                  </w:pPr>
                  <w:r>
                    <w:rPr>
                      <w:lang w:val="en-US"/>
                    </w:rPr>
                    <w:t>To examine the Ottoman Empire’s relations with European powers in the late period.</w:t>
                  </w:r>
                </w:p>
              </w:tc>
            </w:tr>
            <w:tr w:rsidR="00293A60" w:rsidRPr="002E6734" w14:paraId="3A5601D0" w14:textId="77777777" w:rsidTr="00A25E79">
              <w:trPr>
                <w:trHeight w:val="266"/>
              </w:trPr>
              <w:tc>
                <w:tcPr>
                  <w:tcW w:w="1024" w:type="dxa"/>
                </w:tcPr>
                <w:p w14:paraId="2123B7B1" w14:textId="27EB14BC" w:rsidR="00293A60" w:rsidRPr="002E6734" w:rsidRDefault="00293A60" w:rsidP="00293A60">
                  <w:pPr>
                    <w:jc w:val="both"/>
                    <w:rPr>
                      <w:sz w:val="21"/>
                      <w:szCs w:val="21"/>
                      <w:lang w:val="en-US"/>
                    </w:rPr>
                  </w:pPr>
                  <w:r w:rsidRPr="002E6734">
                    <w:rPr>
                      <w:sz w:val="21"/>
                      <w:szCs w:val="21"/>
                      <w:lang w:val="en-US"/>
                    </w:rPr>
                    <w:t>2</w:t>
                  </w:r>
                </w:p>
              </w:tc>
              <w:tc>
                <w:tcPr>
                  <w:tcW w:w="7796" w:type="dxa"/>
                </w:tcPr>
                <w:p w14:paraId="724ACAE1" w14:textId="7ABA9B00" w:rsidR="00293A60" w:rsidRPr="002E6734" w:rsidRDefault="00293A60" w:rsidP="00293A60">
                  <w:pPr>
                    <w:jc w:val="both"/>
                    <w:rPr>
                      <w:lang w:val="en-US"/>
                    </w:rPr>
                  </w:pPr>
                  <w:r>
                    <w:rPr>
                      <w:lang w:val="en-US"/>
                    </w:rPr>
                    <w:t>To learn and analyze the fundamental pillars of Turkish foreign policy.</w:t>
                  </w:r>
                </w:p>
              </w:tc>
            </w:tr>
            <w:tr w:rsidR="00293A60" w:rsidRPr="002E6734" w14:paraId="340C8DE8" w14:textId="77777777" w:rsidTr="00A25E79">
              <w:trPr>
                <w:trHeight w:val="278"/>
              </w:trPr>
              <w:tc>
                <w:tcPr>
                  <w:tcW w:w="1024" w:type="dxa"/>
                </w:tcPr>
                <w:p w14:paraId="10906DF2" w14:textId="5F7C262C" w:rsidR="00293A60" w:rsidRPr="002E6734" w:rsidRDefault="00293A60" w:rsidP="00293A60">
                  <w:pPr>
                    <w:jc w:val="both"/>
                    <w:rPr>
                      <w:sz w:val="21"/>
                      <w:szCs w:val="21"/>
                      <w:lang w:val="en-US"/>
                    </w:rPr>
                  </w:pPr>
                  <w:r w:rsidRPr="002E6734">
                    <w:rPr>
                      <w:sz w:val="21"/>
                      <w:szCs w:val="21"/>
                      <w:lang w:val="en-US"/>
                    </w:rPr>
                    <w:t>3</w:t>
                  </w:r>
                </w:p>
              </w:tc>
              <w:tc>
                <w:tcPr>
                  <w:tcW w:w="7796" w:type="dxa"/>
                </w:tcPr>
                <w:p w14:paraId="0FD6872D" w14:textId="2BC2F22D" w:rsidR="00293A60" w:rsidRPr="002E6734" w:rsidRDefault="00293A60" w:rsidP="00293A60">
                  <w:pPr>
                    <w:jc w:val="both"/>
                    <w:rPr>
                      <w:lang w:val="en-US"/>
                    </w:rPr>
                  </w:pPr>
                  <w:r>
                    <w:rPr>
                      <w:lang w:val="en-US"/>
                    </w:rPr>
                    <w:t>To discuss the impact of Ottoman heritage on the Republican foreign policy</w:t>
                  </w:r>
                </w:p>
              </w:tc>
            </w:tr>
            <w:tr w:rsidR="00293A60" w:rsidRPr="002E6734" w14:paraId="51D0F1F4" w14:textId="77777777" w:rsidTr="00A25E79">
              <w:trPr>
                <w:trHeight w:val="278"/>
              </w:trPr>
              <w:tc>
                <w:tcPr>
                  <w:tcW w:w="1024" w:type="dxa"/>
                </w:tcPr>
                <w:p w14:paraId="60ACDED6" w14:textId="50FA22B9" w:rsidR="00293A60" w:rsidRPr="002E6734" w:rsidRDefault="00293A60" w:rsidP="00293A60">
                  <w:pPr>
                    <w:jc w:val="both"/>
                    <w:rPr>
                      <w:sz w:val="21"/>
                      <w:szCs w:val="21"/>
                      <w:lang w:val="en-US"/>
                    </w:rPr>
                  </w:pPr>
                  <w:r w:rsidRPr="002E6734">
                    <w:rPr>
                      <w:sz w:val="21"/>
                      <w:szCs w:val="21"/>
                      <w:lang w:val="en-US"/>
                    </w:rPr>
                    <w:t>4</w:t>
                  </w:r>
                </w:p>
              </w:tc>
              <w:tc>
                <w:tcPr>
                  <w:tcW w:w="7796" w:type="dxa"/>
                </w:tcPr>
                <w:p w14:paraId="62EDA49C" w14:textId="77777777" w:rsidR="00293A60" w:rsidRPr="002E6734" w:rsidRDefault="00293A60" w:rsidP="00293A60">
                  <w:pPr>
                    <w:jc w:val="both"/>
                    <w:rPr>
                      <w:lang w:val="en-US"/>
                    </w:rPr>
                  </w:pPr>
                </w:p>
              </w:tc>
            </w:tr>
            <w:tr w:rsidR="00293A60" w:rsidRPr="002E6734" w14:paraId="0290CC12" w14:textId="77777777" w:rsidTr="00A25E79">
              <w:trPr>
                <w:trHeight w:val="278"/>
              </w:trPr>
              <w:tc>
                <w:tcPr>
                  <w:tcW w:w="1024" w:type="dxa"/>
                </w:tcPr>
                <w:p w14:paraId="57DEEC17" w14:textId="1ECE97FF" w:rsidR="00293A60" w:rsidRPr="002E6734" w:rsidRDefault="00293A60" w:rsidP="00293A60">
                  <w:pPr>
                    <w:jc w:val="both"/>
                    <w:rPr>
                      <w:sz w:val="21"/>
                      <w:szCs w:val="21"/>
                      <w:lang w:val="en-US"/>
                    </w:rPr>
                  </w:pPr>
                  <w:r w:rsidRPr="002E6734">
                    <w:rPr>
                      <w:sz w:val="21"/>
                      <w:szCs w:val="21"/>
                      <w:lang w:val="en-US"/>
                    </w:rPr>
                    <w:t>5</w:t>
                  </w:r>
                </w:p>
              </w:tc>
              <w:tc>
                <w:tcPr>
                  <w:tcW w:w="7796" w:type="dxa"/>
                </w:tcPr>
                <w:p w14:paraId="1E140F04" w14:textId="77777777" w:rsidR="00293A60" w:rsidRPr="002E6734" w:rsidRDefault="00293A60" w:rsidP="00293A60">
                  <w:pPr>
                    <w:jc w:val="both"/>
                    <w:rPr>
                      <w:lang w:val="en-US"/>
                    </w:rPr>
                  </w:pPr>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77777777" w:rsidR="00731977" w:rsidRPr="002E6734" w:rsidRDefault="00731977" w:rsidP="00731977">
                  <w:pPr>
                    <w:jc w:val="both"/>
                    <w:rPr>
                      <w:lang w:val="en-US"/>
                    </w:rPr>
                  </w:pPr>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293A60" w:rsidRPr="002E6734" w14:paraId="7E10CF4A" w14:textId="77777777" w:rsidTr="00A25E79">
              <w:trPr>
                <w:trHeight w:val="280"/>
              </w:trPr>
              <w:tc>
                <w:tcPr>
                  <w:tcW w:w="1024" w:type="dxa"/>
                </w:tcPr>
                <w:p w14:paraId="3F5B9EAD" w14:textId="2AF1A770" w:rsidR="00293A60" w:rsidRPr="002E6734" w:rsidRDefault="00293A60" w:rsidP="00293A60">
                  <w:pPr>
                    <w:jc w:val="both"/>
                    <w:rPr>
                      <w:lang w:val="en-US"/>
                    </w:rPr>
                  </w:pPr>
                  <w:r w:rsidRPr="002E6734">
                    <w:rPr>
                      <w:sz w:val="21"/>
                      <w:szCs w:val="21"/>
                      <w:lang w:val="en-US"/>
                    </w:rPr>
                    <w:t>1</w:t>
                  </w:r>
                </w:p>
              </w:tc>
              <w:tc>
                <w:tcPr>
                  <w:tcW w:w="7784" w:type="dxa"/>
                </w:tcPr>
                <w:p w14:paraId="38E32BB7" w14:textId="31FFDDAE" w:rsidR="00293A60" w:rsidRPr="00293A60" w:rsidRDefault="00293A60" w:rsidP="00293A60">
                  <w:pPr>
                    <w:jc w:val="both"/>
                    <w:rPr>
                      <w:lang w:val="en-US"/>
                    </w:rPr>
                  </w:pPr>
                  <w:r w:rsidRPr="00363F35">
                    <w:rPr>
                      <w:lang w:val="en-US"/>
                    </w:rPr>
                    <w:t>Discusses the similarities and differences between Ottoman foreign policy and Turkish foreign policy.</w:t>
                  </w:r>
                </w:p>
              </w:tc>
            </w:tr>
            <w:tr w:rsidR="00293A60" w:rsidRPr="002E6734" w14:paraId="109BAA97" w14:textId="77777777" w:rsidTr="00A25E79">
              <w:trPr>
                <w:trHeight w:val="268"/>
              </w:trPr>
              <w:tc>
                <w:tcPr>
                  <w:tcW w:w="1024" w:type="dxa"/>
                </w:tcPr>
                <w:p w14:paraId="65ED327B" w14:textId="13B13554" w:rsidR="00293A60" w:rsidRPr="002E6734" w:rsidRDefault="00293A60" w:rsidP="00293A60">
                  <w:pPr>
                    <w:jc w:val="both"/>
                    <w:rPr>
                      <w:lang w:val="en-US"/>
                    </w:rPr>
                  </w:pPr>
                  <w:r w:rsidRPr="002E6734">
                    <w:rPr>
                      <w:sz w:val="21"/>
                      <w:szCs w:val="21"/>
                      <w:lang w:val="en-US"/>
                    </w:rPr>
                    <w:t>2</w:t>
                  </w:r>
                </w:p>
              </w:tc>
              <w:tc>
                <w:tcPr>
                  <w:tcW w:w="7784" w:type="dxa"/>
                </w:tcPr>
                <w:p w14:paraId="57B68867" w14:textId="24C4EE8A" w:rsidR="00293A60" w:rsidRPr="00293A60" w:rsidRDefault="00293A60" w:rsidP="00293A60">
                  <w:pPr>
                    <w:jc w:val="both"/>
                    <w:rPr>
                      <w:lang w:val="en-US"/>
                    </w:rPr>
                  </w:pPr>
                  <w:r w:rsidRPr="00363F35">
                    <w:rPr>
                      <w:lang w:val="en-US"/>
                    </w:rPr>
                    <w:t>Interprets the importance of the Sevres and Lausanne Treaties in terms of Turkish foreign policy.</w:t>
                  </w:r>
                </w:p>
              </w:tc>
            </w:tr>
            <w:tr w:rsidR="00293A60" w:rsidRPr="002E6734" w14:paraId="57915FD8" w14:textId="77777777" w:rsidTr="00A25E79">
              <w:trPr>
                <w:trHeight w:val="280"/>
              </w:trPr>
              <w:tc>
                <w:tcPr>
                  <w:tcW w:w="1024" w:type="dxa"/>
                </w:tcPr>
                <w:p w14:paraId="3EEC2E29" w14:textId="10578F7E" w:rsidR="00293A60" w:rsidRPr="002E6734" w:rsidRDefault="00293A60" w:rsidP="00293A60">
                  <w:pPr>
                    <w:jc w:val="both"/>
                    <w:rPr>
                      <w:lang w:val="en-US"/>
                    </w:rPr>
                  </w:pPr>
                  <w:r w:rsidRPr="002E6734">
                    <w:rPr>
                      <w:sz w:val="21"/>
                      <w:szCs w:val="21"/>
                      <w:lang w:val="en-US"/>
                    </w:rPr>
                    <w:t>3</w:t>
                  </w:r>
                </w:p>
              </w:tc>
              <w:tc>
                <w:tcPr>
                  <w:tcW w:w="7784" w:type="dxa"/>
                </w:tcPr>
                <w:p w14:paraId="05B3A36E" w14:textId="369C49B8" w:rsidR="00293A60" w:rsidRPr="00293A60" w:rsidRDefault="00293A60" w:rsidP="00293A60">
                  <w:pPr>
                    <w:jc w:val="both"/>
                    <w:rPr>
                      <w:lang w:val="en-US"/>
                    </w:rPr>
                  </w:pPr>
                  <w:r w:rsidRPr="00363F35">
                    <w:rPr>
                      <w:lang w:val="en-US"/>
                    </w:rPr>
                    <w:t xml:space="preserve">Discusses the main </w:t>
                  </w:r>
                  <w:r w:rsidRPr="00293A60">
                    <w:rPr>
                      <w:lang w:val="en-US"/>
                    </w:rPr>
                    <w:t>principles</w:t>
                  </w:r>
                  <w:r w:rsidRPr="00363F35">
                    <w:rPr>
                      <w:lang w:val="en-US"/>
                    </w:rPr>
                    <w:t xml:space="preserve"> of Turkish foreign policy during the Atatürk era.</w:t>
                  </w:r>
                </w:p>
              </w:tc>
            </w:tr>
            <w:tr w:rsidR="00293A60" w:rsidRPr="002E6734" w14:paraId="30202A05" w14:textId="77777777" w:rsidTr="00A25E79">
              <w:trPr>
                <w:trHeight w:val="268"/>
              </w:trPr>
              <w:tc>
                <w:tcPr>
                  <w:tcW w:w="1024" w:type="dxa"/>
                </w:tcPr>
                <w:p w14:paraId="7F16B3BD" w14:textId="0A287C30" w:rsidR="00293A60" w:rsidRPr="002E6734" w:rsidRDefault="00293A60" w:rsidP="00293A60">
                  <w:pPr>
                    <w:jc w:val="both"/>
                    <w:rPr>
                      <w:lang w:val="en-US"/>
                    </w:rPr>
                  </w:pPr>
                  <w:r w:rsidRPr="002E6734">
                    <w:rPr>
                      <w:sz w:val="21"/>
                      <w:szCs w:val="21"/>
                      <w:lang w:val="en-US"/>
                    </w:rPr>
                    <w:t>4</w:t>
                  </w:r>
                </w:p>
              </w:tc>
              <w:tc>
                <w:tcPr>
                  <w:tcW w:w="7784" w:type="dxa"/>
                </w:tcPr>
                <w:p w14:paraId="24FA446F" w14:textId="2F965DE1" w:rsidR="00293A60" w:rsidRPr="00293A60" w:rsidRDefault="00293A60" w:rsidP="00293A60">
                  <w:pPr>
                    <w:jc w:val="both"/>
                    <w:rPr>
                      <w:lang w:val="en-US"/>
                    </w:rPr>
                  </w:pPr>
                  <w:r w:rsidRPr="00363F35">
                    <w:rPr>
                      <w:lang w:val="en-US"/>
                    </w:rPr>
                    <w:t>Evaluates the reasons behind Turkey's joining the Western bloc.</w:t>
                  </w:r>
                </w:p>
              </w:tc>
            </w:tr>
            <w:tr w:rsidR="00293A60" w:rsidRPr="002E6734" w14:paraId="089B4BCC" w14:textId="77777777" w:rsidTr="00A25E79">
              <w:trPr>
                <w:trHeight w:val="280"/>
              </w:trPr>
              <w:tc>
                <w:tcPr>
                  <w:tcW w:w="1024" w:type="dxa"/>
                </w:tcPr>
                <w:p w14:paraId="5CF8D788" w14:textId="4E3105BE" w:rsidR="00293A60" w:rsidRPr="002E6734" w:rsidRDefault="00293A60" w:rsidP="00293A60">
                  <w:pPr>
                    <w:jc w:val="both"/>
                    <w:rPr>
                      <w:lang w:val="en-US"/>
                    </w:rPr>
                  </w:pPr>
                  <w:r w:rsidRPr="002E6734">
                    <w:rPr>
                      <w:sz w:val="21"/>
                      <w:szCs w:val="21"/>
                      <w:lang w:val="en-US"/>
                    </w:rPr>
                    <w:t>5</w:t>
                  </w:r>
                </w:p>
              </w:tc>
              <w:tc>
                <w:tcPr>
                  <w:tcW w:w="7784" w:type="dxa"/>
                </w:tcPr>
                <w:p w14:paraId="517174D1" w14:textId="5BBDEDA6" w:rsidR="00293A60" w:rsidRPr="00293A60" w:rsidRDefault="00293A60" w:rsidP="00293A60">
                  <w:pPr>
                    <w:jc w:val="both"/>
                    <w:rPr>
                      <w:lang w:val="en-US"/>
                    </w:rPr>
                  </w:pPr>
                  <w:r w:rsidRPr="00363F35">
                    <w:rPr>
                      <w:lang w:val="en-US"/>
                    </w:rPr>
                    <w:t>Interprets the Johnson letter and the effects of the Cyprus issue on Turkish foreign policy.</w:t>
                  </w:r>
                </w:p>
              </w:tc>
            </w:tr>
            <w:tr w:rsidR="00293A60" w:rsidRPr="002E6734" w14:paraId="17464FAF" w14:textId="77777777" w:rsidTr="00A25E79">
              <w:trPr>
                <w:trHeight w:val="280"/>
              </w:trPr>
              <w:tc>
                <w:tcPr>
                  <w:tcW w:w="1024" w:type="dxa"/>
                </w:tcPr>
                <w:p w14:paraId="48B78ABB" w14:textId="77777777" w:rsidR="00293A60" w:rsidRPr="002E6734" w:rsidRDefault="00293A60" w:rsidP="00293A60">
                  <w:pPr>
                    <w:jc w:val="both"/>
                    <w:rPr>
                      <w:lang w:val="en-US"/>
                    </w:rPr>
                  </w:pPr>
                </w:p>
              </w:tc>
              <w:tc>
                <w:tcPr>
                  <w:tcW w:w="7784" w:type="dxa"/>
                </w:tcPr>
                <w:p w14:paraId="4451F58F" w14:textId="77777777" w:rsidR="00293A60" w:rsidRPr="002E6734" w:rsidRDefault="00293A60" w:rsidP="00293A60">
                  <w:pPr>
                    <w:jc w:val="both"/>
                    <w:rPr>
                      <w:lang w:val="en-US"/>
                    </w:rPr>
                  </w:pPr>
                </w:p>
              </w:tc>
            </w:tr>
            <w:tr w:rsidR="00293A60" w:rsidRPr="002E6734" w14:paraId="59554A46" w14:textId="77777777" w:rsidTr="00A25E79">
              <w:trPr>
                <w:trHeight w:val="280"/>
              </w:trPr>
              <w:tc>
                <w:tcPr>
                  <w:tcW w:w="1024" w:type="dxa"/>
                </w:tcPr>
                <w:p w14:paraId="7F6BB327" w14:textId="77777777" w:rsidR="00293A60" w:rsidRPr="002E6734" w:rsidRDefault="00293A60" w:rsidP="00293A60">
                  <w:pPr>
                    <w:jc w:val="both"/>
                    <w:rPr>
                      <w:lang w:val="en-US"/>
                    </w:rPr>
                  </w:pPr>
                </w:p>
              </w:tc>
              <w:tc>
                <w:tcPr>
                  <w:tcW w:w="7784" w:type="dxa"/>
                </w:tcPr>
                <w:p w14:paraId="61C4E36A" w14:textId="77777777" w:rsidR="00293A60" w:rsidRPr="002E6734" w:rsidRDefault="00293A60" w:rsidP="00293A60">
                  <w:pPr>
                    <w:jc w:val="both"/>
                    <w:rPr>
                      <w:lang w:val="en-US"/>
                    </w:rPr>
                  </w:pPr>
                </w:p>
              </w:tc>
            </w:tr>
            <w:tr w:rsidR="00293A60" w:rsidRPr="002E6734" w14:paraId="1487A263" w14:textId="77777777" w:rsidTr="00A25E79">
              <w:trPr>
                <w:trHeight w:val="280"/>
              </w:trPr>
              <w:tc>
                <w:tcPr>
                  <w:tcW w:w="1024" w:type="dxa"/>
                </w:tcPr>
                <w:p w14:paraId="380F476E" w14:textId="77777777" w:rsidR="00293A60" w:rsidRPr="002E6734" w:rsidRDefault="00293A60" w:rsidP="00293A60">
                  <w:pPr>
                    <w:jc w:val="both"/>
                    <w:rPr>
                      <w:lang w:val="en-US"/>
                    </w:rPr>
                  </w:pPr>
                </w:p>
              </w:tc>
              <w:tc>
                <w:tcPr>
                  <w:tcW w:w="7784" w:type="dxa"/>
                </w:tcPr>
                <w:p w14:paraId="3D34254C" w14:textId="77777777" w:rsidR="00293A60" w:rsidRPr="002E6734" w:rsidRDefault="00293A60" w:rsidP="00293A60">
                  <w:pPr>
                    <w:jc w:val="both"/>
                    <w:rPr>
                      <w:lang w:val="en-US"/>
                    </w:rPr>
                  </w:pPr>
                </w:p>
              </w:tc>
            </w:tr>
            <w:tr w:rsidR="00293A60" w:rsidRPr="002E6734" w14:paraId="56E80B33" w14:textId="77777777" w:rsidTr="00A25E79">
              <w:trPr>
                <w:trHeight w:val="280"/>
              </w:trPr>
              <w:tc>
                <w:tcPr>
                  <w:tcW w:w="1024" w:type="dxa"/>
                </w:tcPr>
                <w:p w14:paraId="326D7846" w14:textId="77777777" w:rsidR="00293A60" w:rsidRPr="002E6734" w:rsidRDefault="00293A60" w:rsidP="00293A60">
                  <w:pPr>
                    <w:jc w:val="both"/>
                    <w:rPr>
                      <w:lang w:val="en-US"/>
                    </w:rPr>
                  </w:pPr>
                </w:p>
              </w:tc>
              <w:tc>
                <w:tcPr>
                  <w:tcW w:w="7784" w:type="dxa"/>
                </w:tcPr>
                <w:p w14:paraId="2CABD3C6" w14:textId="77777777" w:rsidR="00293A60" w:rsidRPr="002E6734" w:rsidRDefault="00293A60" w:rsidP="00293A60">
                  <w:pPr>
                    <w:jc w:val="both"/>
                    <w:rPr>
                      <w:lang w:val="en-US"/>
                    </w:rPr>
                  </w:pPr>
                </w:p>
              </w:tc>
            </w:tr>
            <w:tr w:rsidR="00293A60" w:rsidRPr="002E6734" w14:paraId="4882A89C" w14:textId="77777777" w:rsidTr="00A25E79">
              <w:trPr>
                <w:trHeight w:val="280"/>
              </w:trPr>
              <w:tc>
                <w:tcPr>
                  <w:tcW w:w="1024" w:type="dxa"/>
                </w:tcPr>
                <w:p w14:paraId="1F028D2E" w14:textId="77777777" w:rsidR="00293A60" w:rsidRPr="002E6734" w:rsidRDefault="00293A60" w:rsidP="00293A60">
                  <w:pPr>
                    <w:jc w:val="both"/>
                    <w:rPr>
                      <w:lang w:val="en-US"/>
                    </w:rPr>
                  </w:pPr>
                </w:p>
              </w:tc>
              <w:tc>
                <w:tcPr>
                  <w:tcW w:w="7784" w:type="dxa"/>
                </w:tcPr>
                <w:p w14:paraId="3FEED588" w14:textId="77777777" w:rsidR="00293A60" w:rsidRPr="002E6734" w:rsidRDefault="00293A60" w:rsidP="00293A60">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15C0F940" w:rsidR="00EF389B" w:rsidRPr="002E6734" w:rsidRDefault="00293A60" w:rsidP="00EF389B">
            <w:pPr>
              <w:pStyle w:val="TableParagraph"/>
              <w:ind w:left="110"/>
              <w:jc w:val="both"/>
              <w:rPr>
                <w:sz w:val="20"/>
                <w:lang w:val="en-US"/>
              </w:rPr>
            </w:pPr>
            <w:r>
              <w:rPr>
                <w:sz w:val="20"/>
                <w:lang w:val="en-US"/>
              </w:rPr>
              <w:t xml:space="preserve">The students will have knowledge of the history of Turkish foreign policy and its main parameters. Students will also gain alternative perspectives to analyze </w:t>
            </w:r>
            <w:proofErr w:type="spellStart"/>
            <w:r>
              <w:rPr>
                <w:sz w:val="20"/>
                <w:lang w:val="en-US"/>
              </w:rPr>
              <w:t>Türkiye’s</w:t>
            </w:r>
            <w:proofErr w:type="spellEnd"/>
            <w:r>
              <w:rPr>
                <w:sz w:val="20"/>
                <w:lang w:val="en-US"/>
              </w:rPr>
              <w:t xml:space="preserve"> relations with external actors. </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4DB89F90" w:rsidR="00AF3427" w:rsidRPr="00F16618" w:rsidRDefault="00F16618" w:rsidP="00AF3427">
                  <w:pPr>
                    <w:jc w:val="both"/>
                    <w:rPr>
                      <w:sz w:val="20"/>
                      <w:szCs w:val="20"/>
                      <w:lang w:val="en-US"/>
                    </w:rPr>
                  </w:pPr>
                  <w:r w:rsidRPr="00F16618">
                    <w:rPr>
                      <w:sz w:val="20"/>
                      <w:szCs w:val="20"/>
                      <w:lang w:val="en-US"/>
                    </w:rPr>
                    <w:t>Introduction to the Course</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01423BC6" w14:textId="77777777" w:rsidR="00F16618" w:rsidRPr="00F16618" w:rsidRDefault="00F16618" w:rsidP="00F16618">
                  <w:pPr>
                    <w:pStyle w:val="ListeParagraf"/>
                    <w:ind w:left="70"/>
                    <w:jc w:val="both"/>
                    <w:rPr>
                      <w:sz w:val="20"/>
                      <w:szCs w:val="20"/>
                      <w:lang w:val="en-US"/>
                    </w:rPr>
                  </w:pPr>
                  <w:r w:rsidRPr="00F16618">
                    <w:rPr>
                      <w:sz w:val="20"/>
                      <w:szCs w:val="20"/>
                      <w:lang w:val="en-US"/>
                    </w:rPr>
                    <w:t>Foreign Policy in the Late Ottoman Era I</w:t>
                  </w:r>
                </w:p>
                <w:p w14:paraId="6E9441F3" w14:textId="64FBC21E" w:rsidR="00AF3427" w:rsidRPr="00F16618" w:rsidRDefault="00F16618" w:rsidP="00F16618">
                  <w:pPr>
                    <w:jc w:val="both"/>
                    <w:rPr>
                      <w:sz w:val="20"/>
                      <w:szCs w:val="20"/>
                      <w:lang w:val="en-US"/>
                    </w:rPr>
                  </w:pPr>
                  <w:r w:rsidRPr="00F16618">
                    <w:rPr>
                      <w:sz w:val="20"/>
                      <w:szCs w:val="20"/>
                      <w:lang w:val="en-US"/>
                    </w:rPr>
                    <w:t>(19th Century and Wars with Russia)</w:t>
                  </w:r>
                </w:p>
              </w:tc>
            </w:tr>
            <w:tr w:rsidR="00F16618" w:rsidRPr="002E6734" w14:paraId="48D28821" w14:textId="77777777" w:rsidTr="00651F0F">
              <w:tc>
                <w:tcPr>
                  <w:tcW w:w="1024" w:type="dxa"/>
                </w:tcPr>
                <w:p w14:paraId="15B75C81" w14:textId="14F5FB7D" w:rsidR="00F16618" w:rsidRPr="002E6734" w:rsidRDefault="00F16618" w:rsidP="00F16618">
                  <w:pPr>
                    <w:jc w:val="both"/>
                    <w:rPr>
                      <w:lang w:val="en-US"/>
                    </w:rPr>
                  </w:pPr>
                  <w:r w:rsidRPr="002E6734">
                    <w:rPr>
                      <w:sz w:val="20"/>
                      <w:szCs w:val="20"/>
                      <w:lang w:val="en-US"/>
                    </w:rPr>
                    <w:t>3. Week</w:t>
                  </w:r>
                </w:p>
              </w:tc>
              <w:tc>
                <w:tcPr>
                  <w:tcW w:w="7786" w:type="dxa"/>
                </w:tcPr>
                <w:p w14:paraId="366481C1" w14:textId="430E61BB" w:rsidR="00F16618" w:rsidRPr="00F16618" w:rsidRDefault="00F16618" w:rsidP="00F16618">
                  <w:pPr>
                    <w:jc w:val="both"/>
                    <w:rPr>
                      <w:sz w:val="20"/>
                      <w:szCs w:val="20"/>
                      <w:lang w:val="en-US"/>
                    </w:rPr>
                  </w:pPr>
                  <w:r w:rsidRPr="00F16618">
                    <w:rPr>
                      <w:sz w:val="20"/>
                      <w:szCs w:val="20"/>
                      <w:lang w:val="en-US"/>
                    </w:rPr>
                    <w:t>Foreign Policy in the Late Ottoman Era II (</w:t>
                  </w:r>
                  <w:proofErr w:type="spellStart"/>
                  <w:r w:rsidRPr="00F16618">
                    <w:rPr>
                      <w:sz w:val="20"/>
                      <w:szCs w:val="20"/>
                      <w:lang w:val="en-US"/>
                    </w:rPr>
                    <w:t>Abdulhamid</w:t>
                  </w:r>
                  <w:proofErr w:type="spellEnd"/>
                  <w:r w:rsidRPr="00F16618">
                    <w:rPr>
                      <w:sz w:val="20"/>
                      <w:szCs w:val="20"/>
                      <w:lang w:val="en-US"/>
                    </w:rPr>
                    <w:t xml:space="preserve"> II Period)</w:t>
                  </w:r>
                </w:p>
              </w:tc>
            </w:tr>
            <w:tr w:rsidR="00F16618" w:rsidRPr="002E6734" w14:paraId="73FCE1C6" w14:textId="77777777" w:rsidTr="00651F0F">
              <w:tc>
                <w:tcPr>
                  <w:tcW w:w="1024" w:type="dxa"/>
                </w:tcPr>
                <w:p w14:paraId="4FBD2A9C" w14:textId="77C2F814" w:rsidR="00F16618" w:rsidRPr="002E6734" w:rsidRDefault="00F16618" w:rsidP="00F16618">
                  <w:pPr>
                    <w:jc w:val="both"/>
                    <w:rPr>
                      <w:lang w:val="en-US"/>
                    </w:rPr>
                  </w:pPr>
                  <w:r w:rsidRPr="002E6734">
                    <w:rPr>
                      <w:sz w:val="20"/>
                      <w:szCs w:val="20"/>
                      <w:lang w:val="en-US"/>
                    </w:rPr>
                    <w:t>4. Week</w:t>
                  </w:r>
                </w:p>
              </w:tc>
              <w:tc>
                <w:tcPr>
                  <w:tcW w:w="7786" w:type="dxa"/>
                </w:tcPr>
                <w:p w14:paraId="27188D99" w14:textId="19C8100A" w:rsidR="00F16618" w:rsidRPr="00F16618" w:rsidRDefault="00F16618" w:rsidP="00F16618">
                  <w:pPr>
                    <w:jc w:val="both"/>
                    <w:rPr>
                      <w:sz w:val="20"/>
                      <w:szCs w:val="20"/>
                      <w:lang w:val="en-US"/>
                    </w:rPr>
                  </w:pPr>
                  <w:r w:rsidRPr="00F16618">
                    <w:rPr>
                      <w:sz w:val="20"/>
                      <w:szCs w:val="20"/>
                      <w:lang w:val="en-US"/>
                    </w:rPr>
                    <w:t>Foreign Policy in the Late Ottoman Era III (Progress and Union Party Era)</w:t>
                  </w:r>
                </w:p>
              </w:tc>
            </w:tr>
            <w:tr w:rsidR="00F16618" w:rsidRPr="002E6734" w14:paraId="668D5AA6" w14:textId="77777777" w:rsidTr="00651F0F">
              <w:tc>
                <w:tcPr>
                  <w:tcW w:w="1024" w:type="dxa"/>
                </w:tcPr>
                <w:p w14:paraId="476E55CD" w14:textId="4E5A4658" w:rsidR="00F16618" w:rsidRPr="002E6734" w:rsidRDefault="00F16618" w:rsidP="00F16618">
                  <w:pPr>
                    <w:jc w:val="both"/>
                    <w:rPr>
                      <w:lang w:val="en-US"/>
                    </w:rPr>
                  </w:pPr>
                  <w:r w:rsidRPr="002E6734">
                    <w:rPr>
                      <w:sz w:val="20"/>
                      <w:szCs w:val="20"/>
                      <w:lang w:val="en-US"/>
                    </w:rPr>
                    <w:t>5. Week</w:t>
                  </w:r>
                </w:p>
              </w:tc>
              <w:tc>
                <w:tcPr>
                  <w:tcW w:w="7786" w:type="dxa"/>
                </w:tcPr>
                <w:p w14:paraId="6EDE7076" w14:textId="2B1BFF97" w:rsidR="00F16618" w:rsidRPr="00F16618" w:rsidRDefault="00F16618" w:rsidP="00F16618">
                  <w:pPr>
                    <w:jc w:val="both"/>
                    <w:rPr>
                      <w:sz w:val="20"/>
                      <w:szCs w:val="20"/>
                      <w:lang w:val="en-US"/>
                    </w:rPr>
                  </w:pPr>
                  <w:r w:rsidRPr="00F16618">
                    <w:rPr>
                      <w:sz w:val="20"/>
                      <w:szCs w:val="20"/>
                      <w:lang w:val="en-US"/>
                    </w:rPr>
                    <w:t>War of Independence</w:t>
                  </w:r>
                </w:p>
              </w:tc>
            </w:tr>
            <w:tr w:rsidR="00F16618" w:rsidRPr="002E6734" w14:paraId="3A75AAFD" w14:textId="77777777" w:rsidTr="00651F0F">
              <w:tc>
                <w:tcPr>
                  <w:tcW w:w="1024" w:type="dxa"/>
                </w:tcPr>
                <w:p w14:paraId="57DB6ED7" w14:textId="360D2BCB" w:rsidR="00F16618" w:rsidRPr="002E6734" w:rsidRDefault="00F16618" w:rsidP="00F16618">
                  <w:pPr>
                    <w:jc w:val="both"/>
                    <w:rPr>
                      <w:lang w:val="en-US"/>
                    </w:rPr>
                  </w:pPr>
                  <w:r w:rsidRPr="002E6734">
                    <w:rPr>
                      <w:sz w:val="20"/>
                      <w:szCs w:val="20"/>
                      <w:lang w:val="en-US"/>
                    </w:rPr>
                    <w:t>6. Week</w:t>
                  </w:r>
                </w:p>
              </w:tc>
              <w:tc>
                <w:tcPr>
                  <w:tcW w:w="7786" w:type="dxa"/>
                </w:tcPr>
                <w:p w14:paraId="18381476" w14:textId="6C2900EB" w:rsidR="00F16618" w:rsidRPr="00F16618" w:rsidRDefault="00F16618" w:rsidP="00F16618">
                  <w:pPr>
                    <w:jc w:val="both"/>
                    <w:rPr>
                      <w:sz w:val="20"/>
                      <w:szCs w:val="20"/>
                      <w:lang w:val="en-US"/>
                    </w:rPr>
                  </w:pPr>
                  <w:r w:rsidRPr="00F16618">
                    <w:rPr>
                      <w:sz w:val="20"/>
                      <w:szCs w:val="20"/>
                      <w:lang w:val="en-US"/>
                    </w:rPr>
                    <w:t>Atatürk Period I (Principles and Vision of Turkish Foreign Policy)</w:t>
                  </w:r>
                </w:p>
              </w:tc>
            </w:tr>
            <w:tr w:rsidR="00F16618" w:rsidRPr="002E6734" w14:paraId="6B71A7E3" w14:textId="77777777" w:rsidTr="00651F0F">
              <w:tc>
                <w:tcPr>
                  <w:tcW w:w="1024" w:type="dxa"/>
                </w:tcPr>
                <w:p w14:paraId="4F2D879F" w14:textId="23D8E40C" w:rsidR="00F16618" w:rsidRPr="002E6734" w:rsidRDefault="00F16618" w:rsidP="00F16618">
                  <w:pPr>
                    <w:jc w:val="both"/>
                    <w:rPr>
                      <w:lang w:val="en-US"/>
                    </w:rPr>
                  </w:pPr>
                  <w:r w:rsidRPr="002E6734">
                    <w:rPr>
                      <w:sz w:val="20"/>
                      <w:szCs w:val="20"/>
                      <w:lang w:val="en-US"/>
                    </w:rPr>
                    <w:t>7. Week</w:t>
                  </w:r>
                </w:p>
              </w:tc>
              <w:tc>
                <w:tcPr>
                  <w:tcW w:w="7786" w:type="dxa"/>
                </w:tcPr>
                <w:p w14:paraId="20B8C531" w14:textId="73C4F624" w:rsidR="00F16618" w:rsidRPr="00F16618" w:rsidRDefault="00F16618" w:rsidP="00F16618">
                  <w:pPr>
                    <w:jc w:val="both"/>
                    <w:rPr>
                      <w:sz w:val="20"/>
                      <w:szCs w:val="20"/>
                      <w:lang w:val="en-US"/>
                    </w:rPr>
                  </w:pPr>
                  <w:r w:rsidRPr="00F16618">
                    <w:rPr>
                      <w:sz w:val="20"/>
                      <w:szCs w:val="20"/>
                      <w:lang w:val="en-US"/>
                    </w:rPr>
                    <w:t>Atatürk Period II (Relations with Regional and Global Actors)</w:t>
                  </w:r>
                </w:p>
              </w:tc>
            </w:tr>
            <w:tr w:rsidR="00F16618" w:rsidRPr="002E6734" w14:paraId="5339304A" w14:textId="77777777" w:rsidTr="00651F0F">
              <w:tc>
                <w:tcPr>
                  <w:tcW w:w="1024" w:type="dxa"/>
                </w:tcPr>
                <w:p w14:paraId="0242AD6C" w14:textId="79207C72" w:rsidR="00F16618" w:rsidRPr="002E6734" w:rsidRDefault="00F16618" w:rsidP="00F16618">
                  <w:pPr>
                    <w:jc w:val="both"/>
                    <w:rPr>
                      <w:lang w:val="en-US"/>
                    </w:rPr>
                  </w:pPr>
                  <w:r w:rsidRPr="002E6734">
                    <w:rPr>
                      <w:sz w:val="20"/>
                      <w:szCs w:val="20"/>
                      <w:lang w:val="en-US"/>
                    </w:rPr>
                    <w:t>8. Week</w:t>
                  </w:r>
                </w:p>
              </w:tc>
              <w:tc>
                <w:tcPr>
                  <w:tcW w:w="7786" w:type="dxa"/>
                </w:tcPr>
                <w:p w14:paraId="5303C8BF" w14:textId="5222B125" w:rsidR="00F16618" w:rsidRPr="002E6734" w:rsidRDefault="00F16618" w:rsidP="00F16618">
                  <w:pPr>
                    <w:jc w:val="both"/>
                    <w:rPr>
                      <w:lang w:val="en-US"/>
                    </w:rPr>
                  </w:pPr>
                  <w:r w:rsidRPr="002E6734">
                    <w:rPr>
                      <w:sz w:val="20"/>
                      <w:szCs w:val="20"/>
                      <w:lang w:val="en-US"/>
                    </w:rPr>
                    <w:t>Midterm Week</w:t>
                  </w:r>
                </w:p>
              </w:tc>
            </w:tr>
            <w:tr w:rsidR="00F16618" w:rsidRPr="002E6734" w14:paraId="086A26ED" w14:textId="77777777" w:rsidTr="00651F0F">
              <w:tc>
                <w:tcPr>
                  <w:tcW w:w="1024" w:type="dxa"/>
                </w:tcPr>
                <w:p w14:paraId="53FE5CC0" w14:textId="02B6E4C2" w:rsidR="00F16618" w:rsidRPr="002E6734" w:rsidRDefault="00F16618" w:rsidP="00F16618">
                  <w:pPr>
                    <w:jc w:val="both"/>
                    <w:rPr>
                      <w:lang w:val="en-US"/>
                    </w:rPr>
                  </w:pPr>
                  <w:r w:rsidRPr="002E6734">
                    <w:rPr>
                      <w:sz w:val="20"/>
                      <w:szCs w:val="20"/>
                      <w:lang w:val="en-US"/>
                    </w:rPr>
                    <w:t>9. Week</w:t>
                  </w:r>
                </w:p>
              </w:tc>
              <w:tc>
                <w:tcPr>
                  <w:tcW w:w="7786" w:type="dxa"/>
                </w:tcPr>
                <w:p w14:paraId="603911BB" w14:textId="6C8FE95E" w:rsidR="00F16618" w:rsidRPr="00F16618" w:rsidRDefault="00F16618" w:rsidP="00F16618">
                  <w:pPr>
                    <w:jc w:val="both"/>
                    <w:rPr>
                      <w:sz w:val="20"/>
                      <w:szCs w:val="20"/>
                      <w:lang w:val="en-US"/>
                    </w:rPr>
                  </w:pPr>
                  <w:proofErr w:type="spellStart"/>
                  <w:r w:rsidRPr="00F16618">
                    <w:rPr>
                      <w:sz w:val="20"/>
                      <w:szCs w:val="20"/>
                      <w:lang w:val="en-US"/>
                    </w:rPr>
                    <w:t>İnönü</w:t>
                  </w:r>
                  <w:proofErr w:type="spellEnd"/>
                  <w:r w:rsidRPr="00F16618">
                    <w:rPr>
                      <w:sz w:val="20"/>
                      <w:szCs w:val="20"/>
                      <w:lang w:val="en-US"/>
                    </w:rPr>
                    <w:t xml:space="preserve"> Period and the Second World War</w:t>
                  </w:r>
                </w:p>
              </w:tc>
            </w:tr>
            <w:tr w:rsidR="00F16618" w:rsidRPr="002E6734" w14:paraId="2875823C" w14:textId="77777777" w:rsidTr="00651F0F">
              <w:tc>
                <w:tcPr>
                  <w:tcW w:w="1024" w:type="dxa"/>
                </w:tcPr>
                <w:p w14:paraId="6B640C77" w14:textId="6FF93DC7" w:rsidR="00F16618" w:rsidRPr="002E6734" w:rsidRDefault="00F16618" w:rsidP="00F16618">
                  <w:pPr>
                    <w:jc w:val="both"/>
                    <w:rPr>
                      <w:lang w:val="en-US"/>
                    </w:rPr>
                  </w:pPr>
                  <w:r w:rsidRPr="002E6734">
                    <w:rPr>
                      <w:sz w:val="20"/>
                      <w:szCs w:val="20"/>
                      <w:lang w:val="en-US"/>
                    </w:rPr>
                    <w:t>10. Week</w:t>
                  </w:r>
                </w:p>
              </w:tc>
              <w:tc>
                <w:tcPr>
                  <w:tcW w:w="7786" w:type="dxa"/>
                </w:tcPr>
                <w:p w14:paraId="783F1E2C" w14:textId="789158CD" w:rsidR="00F16618" w:rsidRPr="00F16618" w:rsidRDefault="00F16618" w:rsidP="00F16618">
                  <w:pPr>
                    <w:jc w:val="both"/>
                    <w:rPr>
                      <w:sz w:val="20"/>
                      <w:szCs w:val="20"/>
                      <w:lang w:val="en-US"/>
                    </w:rPr>
                  </w:pPr>
                  <w:r w:rsidRPr="00F16618">
                    <w:rPr>
                      <w:sz w:val="20"/>
                      <w:szCs w:val="20"/>
                      <w:lang w:val="en-US"/>
                    </w:rPr>
                    <w:t>Menderes Period I (Americanist Foreign Policy, Korean War, the Cyprus Issue)</w:t>
                  </w:r>
                </w:p>
              </w:tc>
            </w:tr>
            <w:tr w:rsidR="00F16618" w:rsidRPr="002E6734" w14:paraId="4CFD8761" w14:textId="77777777" w:rsidTr="00651F0F">
              <w:tc>
                <w:tcPr>
                  <w:tcW w:w="1024" w:type="dxa"/>
                </w:tcPr>
                <w:p w14:paraId="3F120233" w14:textId="4457AB86" w:rsidR="00F16618" w:rsidRPr="002E6734" w:rsidRDefault="00F16618" w:rsidP="00F16618">
                  <w:pPr>
                    <w:jc w:val="both"/>
                    <w:rPr>
                      <w:lang w:val="en-US"/>
                    </w:rPr>
                  </w:pPr>
                  <w:r w:rsidRPr="002E6734">
                    <w:rPr>
                      <w:sz w:val="20"/>
                      <w:szCs w:val="20"/>
                      <w:lang w:val="en-US"/>
                    </w:rPr>
                    <w:t>11. Week</w:t>
                  </w:r>
                </w:p>
              </w:tc>
              <w:tc>
                <w:tcPr>
                  <w:tcW w:w="7786" w:type="dxa"/>
                </w:tcPr>
                <w:p w14:paraId="30EB4687" w14:textId="7B089CD1" w:rsidR="00F16618" w:rsidRPr="00F16618" w:rsidRDefault="00F16618" w:rsidP="00F16618">
                  <w:pPr>
                    <w:jc w:val="both"/>
                    <w:rPr>
                      <w:sz w:val="20"/>
                      <w:szCs w:val="20"/>
                      <w:lang w:val="en-US"/>
                    </w:rPr>
                  </w:pPr>
                  <w:r w:rsidRPr="00F16618">
                    <w:rPr>
                      <w:sz w:val="20"/>
                      <w:szCs w:val="20"/>
                      <w:lang w:val="en-US"/>
                    </w:rPr>
                    <w:t>Menderes Period II (Relations with the Soviet Union and the Middle East)</w:t>
                  </w:r>
                </w:p>
              </w:tc>
            </w:tr>
            <w:tr w:rsidR="00F16618" w:rsidRPr="002E6734" w14:paraId="238A262F" w14:textId="77777777" w:rsidTr="00651F0F">
              <w:tc>
                <w:tcPr>
                  <w:tcW w:w="1024" w:type="dxa"/>
                </w:tcPr>
                <w:p w14:paraId="353F6204" w14:textId="51E6C8D2" w:rsidR="00F16618" w:rsidRPr="002E6734" w:rsidRDefault="00F16618" w:rsidP="00F16618">
                  <w:pPr>
                    <w:jc w:val="both"/>
                    <w:rPr>
                      <w:lang w:val="en-US"/>
                    </w:rPr>
                  </w:pPr>
                  <w:r w:rsidRPr="002E6734">
                    <w:rPr>
                      <w:sz w:val="20"/>
                      <w:szCs w:val="20"/>
                      <w:lang w:val="en-US"/>
                    </w:rPr>
                    <w:t>12. Week</w:t>
                  </w:r>
                </w:p>
              </w:tc>
              <w:tc>
                <w:tcPr>
                  <w:tcW w:w="7786" w:type="dxa"/>
                </w:tcPr>
                <w:p w14:paraId="5B9FFBC2" w14:textId="1474F0F2" w:rsidR="00F16618" w:rsidRPr="00F16618" w:rsidRDefault="00F16618" w:rsidP="00F16618">
                  <w:pPr>
                    <w:jc w:val="both"/>
                    <w:rPr>
                      <w:sz w:val="20"/>
                      <w:szCs w:val="20"/>
                      <w:lang w:val="en-US"/>
                    </w:rPr>
                  </w:pPr>
                  <w:r w:rsidRPr="00F16618">
                    <w:rPr>
                      <w:sz w:val="20"/>
                      <w:szCs w:val="20"/>
                      <w:lang w:val="en-US"/>
                    </w:rPr>
                    <w:t>Foreign Policy in the 1960s I (</w:t>
                  </w:r>
                  <w:proofErr w:type="spellStart"/>
                  <w:r w:rsidRPr="00F16618">
                    <w:rPr>
                      <w:sz w:val="20"/>
                      <w:szCs w:val="20"/>
                      <w:lang w:val="en-US"/>
                    </w:rPr>
                    <w:t>Jonhson’s</w:t>
                  </w:r>
                  <w:proofErr w:type="spellEnd"/>
                  <w:r w:rsidRPr="00F16618">
                    <w:rPr>
                      <w:sz w:val="20"/>
                      <w:szCs w:val="20"/>
                      <w:lang w:val="en-US"/>
                    </w:rPr>
                    <w:t xml:space="preserve"> Letter and Relations with the US, Cyprus Dispute, Relations with Europe)</w:t>
                  </w:r>
                </w:p>
              </w:tc>
            </w:tr>
            <w:tr w:rsidR="00F16618" w:rsidRPr="002E6734" w14:paraId="1B337996" w14:textId="77777777" w:rsidTr="00651F0F">
              <w:tc>
                <w:tcPr>
                  <w:tcW w:w="1024" w:type="dxa"/>
                </w:tcPr>
                <w:p w14:paraId="05E79159" w14:textId="796E7069" w:rsidR="00F16618" w:rsidRPr="002E6734" w:rsidRDefault="00F16618" w:rsidP="00F16618">
                  <w:pPr>
                    <w:jc w:val="both"/>
                    <w:rPr>
                      <w:lang w:val="en-US"/>
                    </w:rPr>
                  </w:pPr>
                  <w:r w:rsidRPr="002E6734">
                    <w:rPr>
                      <w:sz w:val="20"/>
                      <w:szCs w:val="20"/>
                      <w:lang w:val="en-US"/>
                    </w:rPr>
                    <w:t>13. Week</w:t>
                  </w:r>
                </w:p>
              </w:tc>
              <w:tc>
                <w:tcPr>
                  <w:tcW w:w="7786" w:type="dxa"/>
                </w:tcPr>
                <w:p w14:paraId="1FBFC69F" w14:textId="654C207F" w:rsidR="00F16618" w:rsidRPr="00F16618" w:rsidRDefault="00F16618" w:rsidP="00F16618">
                  <w:pPr>
                    <w:jc w:val="both"/>
                    <w:rPr>
                      <w:sz w:val="20"/>
                      <w:szCs w:val="20"/>
                      <w:lang w:val="en-US"/>
                    </w:rPr>
                  </w:pPr>
                  <w:r w:rsidRPr="00F16618">
                    <w:rPr>
                      <w:sz w:val="20"/>
                      <w:szCs w:val="20"/>
                      <w:lang w:val="en-US"/>
                    </w:rPr>
                    <w:t>Foreign Policy in the 1960s II (Opening to the Middle East, Relations with the Soviet Union)</w:t>
                  </w:r>
                </w:p>
              </w:tc>
            </w:tr>
            <w:tr w:rsidR="00F16618" w:rsidRPr="002E6734" w14:paraId="4E57598D" w14:textId="77777777" w:rsidTr="00651F0F">
              <w:tc>
                <w:tcPr>
                  <w:tcW w:w="1024" w:type="dxa"/>
                </w:tcPr>
                <w:p w14:paraId="20CC2F55" w14:textId="292320B8" w:rsidR="00F16618" w:rsidRPr="002E6734" w:rsidRDefault="00F16618" w:rsidP="00F16618">
                  <w:pPr>
                    <w:jc w:val="both"/>
                    <w:rPr>
                      <w:lang w:val="en-US"/>
                    </w:rPr>
                  </w:pPr>
                  <w:r w:rsidRPr="002E6734">
                    <w:rPr>
                      <w:sz w:val="20"/>
                      <w:szCs w:val="20"/>
                      <w:lang w:val="en-US"/>
                    </w:rPr>
                    <w:t>14. Week</w:t>
                  </w:r>
                </w:p>
              </w:tc>
              <w:tc>
                <w:tcPr>
                  <w:tcW w:w="7786" w:type="dxa"/>
                </w:tcPr>
                <w:p w14:paraId="5440A06D" w14:textId="673842E5" w:rsidR="00F16618" w:rsidRPr="00F16618" w:rsidRDefault="00F16618" w:rsidP="00F16618">
                  <w:pPr>
                    <w:jc w:val="both"/>
                    <w:rPr>
                      <w:sz w:val="20"/>
                      <w:szCs w:val="20"/>
                      <w:lang w:val="en-US"/>
                    </w:rPr>
                  </w:pPr>
                  <w:r w:rsidRPr="00F16618">
                    <w:rPr>
                      <w:sz w:val="20"/>
                      <w:szCs w:val="20"/>
                      <w:lang w:val="en-US"/>
                    </w:rPr>
                    <w:t>Foreign Policy in the 1970s I (Cyprus Operations, American Sanctions, Aegean Sea Crisis with Greece)</w:t>
                  </w:r>
                </w:p>
              </w:tc>
            </w:tr>
            <w:tr w:rsidR="00F16618" w:rsidRPr="002E6734" w14:paraId="0A7F942A" w14:textId="77777777" w:rsidTr="00651F0F">
              <w:tc>
                <w:tcPr>
                  <w:tcW w:w="1024" w:type="dxa"/>
                </w:tcPr>
                <w:p w14:paraId="08135BE7" w14:textId="107D7081" w:rsidR="00F16618" w:rsidRPr="002E6734" w:rsidRDefault="00F16618" w:rsidP="00F16618">
                  <w:pPr>
                    <w:jc w:val="both"/>
                    <w:rPr>
                      <w:lang w:val="en-US"/>
                    </w:rPr>
                  </w:pPr>
                  <w:r w:rsidRPr="002E6734">
                    <w:rPr>
                      <w:sz w:val="20"/>
                      <w:szCs w:val="20"/>
                      <w:lang w:val="en-US"/>
                    </w:rPr>
                    <w:t>15. Week</w:t>
                  </w:r>
                </w:p>
              </w:tc>
              <w:tc>
                <w:tcPr>
                  <w:tcW w:w="7786" w:type="dxa"/>
                </w:tcPr>
                <w:p w14:paraId="69B9730C" w14:textId="746B3583" w:rsidR="00F16618" w:rsidRPr="00F16618" w:rsidRDefault="00F16618" w:rsidP="00F16618">
                  <w:pPr>
                    <w:jc w:val="both"/>
                    <w:rPr>
                      <w:sz w:val="20"/>
                      <w:szCs w:val="20"/>
                      <w:lang w:val="en-US"/>
                    </w:rPr>
                  </w:pPr>
                  <w:r w:rsidRPr="00F16618">
                    <w:rPr>
                      <w:sz w:val="20"/>
                      <w:szCs w:val="20"/>
                      <w:lang w:val="en-US"/>
                    </w:rPr>
                    <w:t>Foreign Policy in the 1970s II (Regional Conflicts, Relations with Middle East, Economic Problems)</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9B62EBA" w:rsidR="002E6734" w:rsidRPr="002E6734" w:rsidRDefault="00293A6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5C21047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93A60">
                    <w:rPr>
                      <w:rFonts w:ascii="Calibri" w:eastAsia="Times New Roman" w:hAnsi="Calibri" w:cs="Calibri"/>
                      <w:color w:val="3B3A36"/>
                      <w:sz w:val="20"/>
                      <w:szCs w:val="20"/>
                      <w:lang w:val="en-US" w:eastAsia="tr-TR"/>
                    </w:rPr>
                    <w:t xml:space="preserve"> 40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9B53D5E" w:rsidR="002E6734" w:rsidRPr="002E6734" w:rsidRDefault="00293A60" w:rsidP="002E6734">
                  <w:pPr>
                    <w:rPr>
                      <w:rFonts w:ascii="Calibri" w:hAnsi="Calibri" w:cs="Calibri"/>
                      <w:sz w:val="20"/>
                      <w:szCs w:val="20"/>
                      <w:lang w:val="en-US"/>
                    </w:rPr>
                  </w:pPr>
                  <w:r>
                    <w:rPr>
                      <w:rFonts w:ascii="Calibri" w:hAnsi="Calibri" w:cs="Calibri"/>
                      <w:sz w:val="20"/>
                      <w:szCs w:val="20"/>
                      <w:lang w:val="en-US"/>
                    </w:rPr>
                    <w:t>-</w:t>
                  </w: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9002DD1" w:rsidR="002E6734" w:rsidRPr="002E6734" w:rsidRDefault="00293A60" w:rsidP="002E6734">
                  <w:pPr>
                    <w:rPr>
                      <w:rFonts w:ascii="Calibri" w:hAnsi="Calibri" w:cs="Calibri"/>
                      <w:sz w:val="20"/>
                      <w:szCs w:val="20"/>
                      <w:lang w:val="en-US"/>
                    </w:rPr>
                  </w:pPr>
                  <w:r>
                    <w:rPr>
                      <w:rFonts w:ascii="Calibri" w:hAnsi="Calibri" w:cs="Calibri"/>
                      <w:sz w:val="20"/>
                      <w:szCs w:val="20"/>
                      <w:lang w:val="en-US"/>
                    </w:rPr>
                    <w:t>-</w:t>
                  </w: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56EA8FB4" w:rsidR="002E6734" w:rsidRPr="002E6734" w:rsidRDefault="00293A60" w:rsidP="002E6734">
                  <w:pPr>
                    <w:rPr>
                      <w:rFonts w:ascii="Calibri" w:hAnsi="Calibri" w:cs="Calibri"/>
                      <w:sz w:val="20"/>
                      <w:szCs w:val="20"/>
                      <w:lang w:val="en-US"/>
                    </w:rPr>
                  </w:pPr>
                  <w:r>
                    <w:rPr>
                      <w:rFonts w:ascii="Calibri" w:hAnsi="Calibri" w:cs="Calibri"/>
                      <w:sz w:val="20"/>
                      <w:szCs w:val="20"/>
                      <w:lang w:val="en-US"/>
                    </w:rPr>
                    <w:t>-</w:t>
                  </w: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7F97D1FD" w:rsidR="002E6734" w:rsidRPr="002E6734" w:rsidRDefault="00293A60" w:rsidP="002E6734">
                  <w:pPr>
                    <w:rPr>
                      <w:rFonts w:ascii="Calibri" w:hAnsi="Calibri" w:cs="Calibri"/>
                      <w:sz w:val="20"/>
                      <w:szCs w:val="20"/>
                      <w:lang w:val="en-US"/>
                    </w:rPr>
                  </w:pPr>
                  <w:r>
                    <w:rPr>
                      <w:rFonts w:ascii="Calibri" w:hAnsi="Calibri" w:cs="Calibri"/>
                      <w:sz w:val="20"/>
                      <w:szCs w:val="20"/>
                      <w:lang w:val="en-US"/>
                    </w:rPr>
                    <w:t>-</w:t>
                  </w: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7E5FE2CC" w:rsidR="002E6734" w:rsidRPr="002E6734" w:rsidRDefault="00293A60" w:rsidP="002E6734">
                  <w:pPr>
                    <w:rPr>
                      <w:rFonts w:ascii="Calibri" w:hAnsi="Calibri" w:cs="Calibri"/>
                      <w:sz w:val="20"/>
                      <w:szCs w:val="20"/>
                      <w:lang w:val="en-US"/>
                    </w:rPr>
                  </w:pPr>
                  <w:r>
                    <w:rPr>
                      <w:rFonts w:ascii="Calibri" w:hAnsi="Calibri" w:cs="Calibri"/>
                      <w:sz w:val="20"/>
                      <w:szCs w:val="20"/>
                      <w:lang w:val="en-US"/>
                    </w:rPr>
                    <w:t>-</w:t>
                  </w: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3F8CB11C" w:rsidR="002E6734" w:rsidRPr="002E6734" w:rsidRDefault="00293A60"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790353D3"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293A60">
                    <w:rPr>
                      <w:rFonts w:ascii="Calibri" w:hAnsi="Calibri" w:cs="Calibri"/>
                      <w:sz w:val="20"/>
                      <w:szCs w:val="20"/>
                      <w:lang w:val="en-US"/>
                    </w:rPr>
                    <w:t xml:space="preserve"> 60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3734289" w:rsidR="002E6734" w:rsidRPr="002E6734" w:rsidRDefault="00293A60" w:rsidP="002E6734">
                  <w:pPr>
                    <w:rPr>
                      <w:rFonts w:ascii="Calibri" w:hAnsi="Calibri" w:cs="Calibri"/>
                      <w:b/>
                      <w:bCs/>
                      <w:sz w:val="20"/>
                      <w:szCs w:val="20"/>
                      <w:lang w:val="en-US"/>
                    </w:rPr>
                  </w:pPr>
                  <w:r>
                    <w:rPr>
                      <w:rFonts w:ascii="Calibri" w:hAnsi="Calibri" w:cs="Calibri"/>
                      <w:b/>
                      <w:bCs/>
                      <w:sz w:val="20"/>
                      <w:szCs w:val="20"/>
                      <w:lang w:val="en-US"/>
                    </w:rPr>
                    <w:t>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515C1"/>
    <w:multiLevelType w:val="multilevel"/>
    <w:tmpl w:val="6DC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366F6"/>
    <w:rsid w:val="00293A60"/>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6100C"/>
    <w:rsid w:val="00793015"/>
    <w:rsid w:val="007A7AC1"/>
    <w:rsid w:val="007B26F8"/>
    <w:rsid w:val="008309D1"/>
    <w:rsid w:val="0083209D"/>
    <w:rsid w:val="00871F5E"/>
    <w:rsid w:val="008B7E4A"/>
    <w:rsid w:val="008F5B0A"/>
    <w:rsid w:val="00930D25"/>
    <w:rsid w:val="009D039A"/>
    <w:rsid w:val="00A27A75"/>
    <w:rsid w:val="00A62A20"/>
    <w:rsid w:val="00A63349"/>
    <w:rsid w:val="00A85300"/>
    <w:rsid w:val="00AE7B0A"/>
    <w:rsid w:val="00AF3427"/>
    <w:rsid w:val="00B76BB2"/>
    <w:rsid w:val="00BB53D6"/>
    <w:rsid w:val="00BC180B"/>
    <w:rsid w:val="00BF3EFD"/>
    <w:rsid w:val="00C0698A"/>
    <w:rsid w:val="00C63DB9"/>
    <w:rsid w:val="00C66655"/>
    <w:rsid w:val="00CC3B7A"/>
    <w:rsid w:val="00CC7DF4"/>
    <w:rsid w:val="00D26E72"/>
    <w:rsid w:val="00DB2A49"/>
    <w:rsid w:val="00DD6DCD"/>
    <w:rsid w:val="00E325D4"/>
    <w:rsid w:val="00E812C2"/>
    <w:rsid w:val="00EB0594"/>
    <w:rsid w:val="00EE3856"/>
    <w:rsid w:val="00EF389B"/>
    <w:rsid w:val="00F16618"/>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2025-10-27T08:57:00Z</dcterms:created>
  <dcterms:modified xsi:type="dcterms:W3CDTF">2025-10-27T08:57:00Z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8eddeff0-e4a3-4140-a3a9-cbc2b575f976</vt:lpwstr>
  </property>
</Properties>
</file>