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2DB076C6"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2246C6">
              <w:rPr>
                <w:b/>
                <w:spacing w:val="-7"/>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7646D04B" w:rsidR="00E325D4" w:rsidRPr="002E6734" w:rsidRDefault="003A4938" w:rsidP="00464A63">
            <w:pPr>
              <w:pStyle w:val="TableParagraph"/>
              <w:ind w:left="62" w:right="47"/>
              <w:jc w:val="center"/>
              <w:rPr>
                <w:sz w:val="20"/>
                <w:lang w:val="en-US"/>
              </w:rPr>
            </w:pPr>
            <w:r w:rsidRPr="003A4938">
              <w:rPr>
                <w:sz w:val="20"/>
                <w:lang w:val="en-US"/>
              </w:rPr>
              <w:t>INRE325</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4C895DB6" w:rsidR="00E325D4" w:rsidRPr="002E6734" w:rsidRDefault="003A4938" w:rsidP="00464A63">
            <w:pPr>
              <w:pStyle w:val="TableParagraph"/>
              <w:ind w:left="14"/>
              <w:jc w:val="center"/>
              <w:rPr>
                <w:sz w:val="20"/>
                <w:lang w:val="en-US"/>
              </w:rPr>
            </w:pPr>
            <w:r w:rsidRPr="003A4938">
              <w:rPr>
                <w:sz w:val="20"/>
                <w:lang w:val="en-US"/>
              </w:rPr>
              <w:t>FOREIGN POLICY ANALYSIS</w:t>
            </w:r>
          </w:p>
        </w:tc>
        <w:tc>
          <w:tcPr>
            <w:tcW w:w="1276" w:type="dxa"/>
            <w:vAlign w:val="center"/>
          </w:tcPr>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18819F6B" w:rsidR="00E325D4" w:rsidRPr="002E6734" w:rsidRDefault="003A4938"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5739894B" w:rsidR="00E325D4" w:rsidRPr="002E6734" w:rsidRDefault="00FC518E" w:rsidP="00464A63">
            <w:pPr>
              <w:pStyle w:val="TableParagraph"/>
              <w:jc w:val="center"/>
              <w:rPr>
                <w:sz w:val="20"/>
                <w:lang w:val="en-US"/>
              </w:rPr>
            </w:pPr>
            <w:r>
              <w:rPr>
                <w:sz w:val="20"/>
                <w:lang w:val="en-US"/>
              </w:rPr>
              <w:t>09.09.2025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4C60EEE6" w:rsidR="000441DB" w:rsidRPr="002E6734" w:rsidRDefault="003A4938" w:rsidP="001746AA">
            <w:pPr>
              <w:pStyle w:val="TableParagraph"/>
              <w:jc w:val="both"/>
              <w:rPr>
                <w:sz w:val="20"/>
                <w:lang w:val="en-US"/>
              </w:rPr>
            </w:pPr>
            <w:r>
              <w:rPr>
                <w:sz w:val="20"/>
                <w:lang w:val="en-US"/>
              </w:rPr>
              <w:t>KANAN ASLANLI (</w:t>
            </w:r>
            <w:hyperlink r:id="rId5" w:history="1">
              <w:r w:rsidRPr="009F2A93">
                <w:rPr>
                  <w:rStyle w:val="Kpr"/>
                  <w:sz w:val="20"/>
                  <w:lang w:val="en-US"/>
                </w:rPr>
                <w:t>kenan.aslanli@yahoo.com</w:t>
              </w:r>
            </w:hyperlink>
            <w:r>
              <w:rPr>
                <w:sz w:val="20"/>
                <w:lang w:val="en-US"/>
              </w:rPr>
              <w:t xml:space="preserve">; </w:t>
            </w:r>
            <w:hyperlink r:id="rId6" w:history="1">
              <w:r w:rsidRPr="009F2A93">
                <w:rPr>
                  <w:rStyle w:val="Kpr"/>
                  <w:sz w:val="20"/>
                  <w:lang w:val="en-US"/>
                </w:rPr>
                <w:t>kaslanli@aybu.edu.tr</w:t>
              </w:r>
            </w:hyperlink>
            <w:r>
              <w:rPr>
                <w:sz w:val="20"/>
                <w:lang w:val="en-US"/>
              </w:rPr>
              <w:t xml:space="preserve">) </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05D0D993" w:rsidR="00EF389B" w:rsidRPr="002E6734" w:rsidRDefault="003A4938" w:rsidP="00EF389B">
            <w:pPr>
              <w:pStyle w:val="TableParagraph"/>
              <w:jc w:val="both"/>
              <w:rPr>
                <w:sz w:val="20"/>
                <w:lang w:val="en-US"/>
              </w:rPr>
            </w:pPr>
            <w:r>
              <w:rPr>
                <w:sz w:val="20"/>
                <w:lang w:val="en-US"/>
              </w:rPr>
              <w:t xml:space="preserve">Wednesday, 12.00-14.00, </w:t>
            </w:r>
            <w:r w:rsidR="00FC518E">
              <w:rPr>
                <w:sz w:val="20"/>
                <w:lang w:val="en-US"/>
              </w:rPr>
              <w:t>B360</w:t>
            </w:r>
            <w:r w:rsidR="00EB4BA2">
              <w:rPr>
                <w:sz w:val="20"/>
                <w:lang w:val="en-US"/>
              </w:rPr>
              <w:t>.</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1982CA8D" w:rsidR="00EF389B" w:rsidRPr="002E6734" w:rsidRDefault="00FC518E" w:rsidP="00EF389B">
            <w:pPr>
              <w:pStyle w:val="TableParagraph"/>
              <w:spacing w:before="54"/>
              <w:ind w:left="110"/>
              <w:jc w:val="both"/>
              <w:rPr>
                <w:sz w:val="20"/>
                <w:lang w:val="en-US"/>
              </w:rPr>
            </w:pPr>
            <w:r w:rsidRPr="00FC518E">
              <w:rPr>
                <w:sz w:val="20"/>
                <w:lang w:val="en-US"/>
              </w:rPr>
              <w:t xml:space="preserve">This course aims to examine the factors that influence states' foreign policies within the international system from a theoretical perspective. It analyzes the internal and external factors that influence and guide countries' foreign policies, the psychology of leaders, and various societal factors. This course introduces </w:t>
            </w:r>
            <w:r>
              <w:rPr>
                <w:sz w:val="20"/>
                <w:lang w:val="en-US"/>
              </w:rPr>
              <w:t xml:space="preserve">students to the main theories of foreign policy analysis, along with the </w:t>
            </w:r>
            <w:r w:rsidRPr="00FC518E">
              <w:rPr>
                <w:sz w:val="20"/>
                <w:lang w:val="en-US"/>
              </w:rPr>
              <w:t xml:space="preserve">tools and methods. The course will enable students to analyze specific foreign policies of various countries within the theoretical frameworks. The approaches of key </w:t>
            </w:r>
            <w:r>
              <w:rPr>
                <w:sz w:val="20"/>
                <w:lang w:val="en-US"/>
              </w:rPr>
              <w:t>IR</w:t>
            </w:r>
            <w:r w:rsidRPr="00FC518E">
              <w:rPr>
                <w:sz w:val="20"/>
                <w:lang w:val="en-US"/>
              </w:rPr>
              <w:t xml:space="preserve"> theories to foreign policy analysis will also be examined.</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0E3BCECD" w14:textId="0DE9FB52" w:rsidR="00FC518E" w:rsidRPr="00FC518E" w:rsidRDefault="00FC518E" w:rsidP="00FC518E">
            <w:pPr>
              <w:pStyle w:val="TableParagraph"/>
              <w:spacing w:before="140"/>
              <w:jc w:val="both"/>
              <w:rPr>
                <w:iCs/>
                <w:sz w:val="20"/>
                <w:lang w:val="en-US"/>
              </w:rPr>
            </w:pPr>
            <w:r w:rsidRPr="00FC518E">
              <w:rPr>
                <w:iCs/>
                <w:sz w:val="20"/>
                <w:lang w:val="en-US"/>
              </w:rPr>
              <w:t>Benjamin Day, Valerie Hudson. Foreign Policy Analysis: Classic and Contemporary Theory. Rowman &amp; Littlefield Publishers, 2020.</w:t>
            </w:r>
          </w:p>
          <w:p w14:paraId="6093A56F" w14:textId="6B5AC93F" w:rsidR="00EF389B" w:rsidRPr="002E6734" w:rsidRDefault="00FC518E" w:rsidP="00FC518E">
            <w:pPr>
              <w:pStyle w:val="TableParagraph"/>
              <w:spacing w:before="140"/>
              <w:jc w:val="both"/>
              <w:rPr>
                <w:iCs/>
                <w:sz w:val="20"/>
                <w:lang w:val="en-US"/>
              </w:rPr>
            </w:pPr>
            <w:r w:rsidRPr="00FC518E">
              <w:rPr>
                <w:iCs/>
                <w:sz w:val="20"/>
                <w:lang w:val="en-US"/>
              </w:rPr>
              <w:t>Jean-Frederic Morin, Jonathan Paquin. Foreign Policy Analysis: A Toolbox. Palgrave Macmillan, 2018.</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0E5D36AE" w:rsidR="00EF389B" w:rsidRPr="002E6734" w:rsidRDefault="00FC518E" w:rsidP="00EF389B">
            <w:pPr>
              <w:pStyle w:val="TableParagraph"/>
              <w:spacing w:before="159"/>
              <w:ind w:left="110"/>
              <w:jc w:val="both"/>
              <w:rPr>
                <w:sz w:val="20"/>
                <w:lang w:val="en-US"/>
              </w:rPr>
            </w:pPr>
            <w:r w:rsidRPr="00FC518E">
              <w:rPr>
                <w:sz w:val="20"/>
                <w:lang w:val="en-US"/>
              </w:rPr>
              <w:t>In this course, various teaching methods and techniques will be employed, including homework assignments, interactive class discussions, group work, simulation games, research papers, and individual presentations.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72F3D545" w:rsidR="00731977" w:rsidRPr="00EB4BA2" w:rsidRDefault="00EB4BA2" w:rsidP="00EB4BA2">
                  <w:pPr>
                    <w:rPr>
                      <w:sz w:val="20"/>
                      <w:szCs w:val="20"/>
                      <w:lang w:val="en-US"/>
                    </w:rPr>
                  </w:pPr>
                  <w:r w:rsidRPr="00EB4BA2">
                    <w:rPr>
                      <w:sz w:val="20"/>
                      <w:szCs w:val="20"/>
                      <w:lang w:val="en-US"/>
                    </w:rPr>
                    <w:t>Students will be able to explain the historical development of foreign policy analysis as a branch of international relations.</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7F3F5E68" w:rsidR="00731977" w:rsidRPr="00EB4BA2" w:rsidRDefault="00EB4BA2" w:rsidP="00EB4BA2">
                  <w:pPr>
                    <w:rPr>
                      <w:sz w:val="20"/>
                      <w:szCs w:val="20"/>
                      <w:lang w:val="en-US"/>
                    </w:rPr>
                  </w:pPr>
                  <w:r w:rsidRPr="00EB4BA2">
                    <w:rPr>
                      <w:sz w:val="20"/>
                      <w:szCs w:val="20"/>
                      <w:lang w:val="en-US"/>
                    </w:rPr>
                    <w:t xml:space="preserve">Students will be able to classify the factors affecting foreign </w:t>
                  </w:r>
                  <w:r w:rsidR="002246C6" w:rsidRPr="00EB4BA2">
                    <w:rPr>
                      <w:sz w:val="20"/>
                      <w:szCs w:val="20"/>
                      <w:lang w:val="en-US"/>
                    </w:rPr>
                    <w:t>policymaking</w:t>
                  </w:r>
                  <w:r w:rsidRPr="00EB4BA2">
                    <w:rPr>
                      <w:sz w:val="20"/>
                      <w:szCs w:val="20"/>
                      <w:lang w:val="en-US"/>
                    </w:rPr>
                    <w:t xml:space="preserve"> as internal, external, psychological, and social.</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372CE3EA" w:rsidR="00731977" w:rsidRPr="00EB4BA2" w:rsidRDefault="00EB4BA2" w:rsidP="00EB4BA2">
                  <w:pPr>
                    <w:rPr>
                      <w:sz w:val="20"/>
                      <w:szCs w:val="20"/>
                      <w:lang w:val="en-US"/>
                    </w:rPr>
                  </w:pPr>
                  <w:r w:rsidRPr="00EB4BA2">
                    <w:rPr>
                      <w:sz w:val="20"/>
                      <w:szCs w:val="20"/>
                      <w:lang w:val="en-US"/>
                    </w:rPr>
                    <w:t xml:space="preserve">Students will be able to examine internal </w:t>
                  </w:r>
                  <w:r w:rsidR="002246C6" w:rsidRPr="00EB4BA2">
                    <w:rPr>
                      <w:sz w:val="20"/>
                      <w:szCs w:val="20"/>
                      <w:lang w:val="en-US"/>
                    </w:rPr>
                    <w:t>factors such</w:t>
                  </w:r>
                  <w:r w:rsidRPr="00EB4BA2">
                    <w:rPr>
                      <w:sz w:val="20"/>
                      <w:szCs w:val="20"/>
                      <w:lang w:val="en-US"/>
                    </w:rPr>
                    <w:t xml:space="preserve"> as domestic politics, regime type, administration styles of political parties in democratic regimes, and applied methods in decision-making. </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40192905" w:rsidR="00731977" w:rsidRPr="00EB4BA2" w:rsidRDefault="00EB4BA2" w:rsidP="00EB4BA2">
                  <w:pPr>
                    <w:rPr>
                      <w:sz w:val="20"/>
                      <w:szCs w:val="20"/>
                      <w:lang w:val="en-US"/>
                    </w:rPr>
                  </w:pPr>
                  <w:r w:rsidRPr="00EB4BA2">
                    <w:rPr>
                      <w:sz w:val="20"/>
                      <w:szCs w:val="20"/>
                      <w:lang w:val="en-US"/>
                    </w:rPr>
                    <w:t xml:space="preserve">Students will be able to examine external </w:t>
                  </w:r>
                  <w:r w:rsidR="002246C6" w:rsidRPr="00EB4BA2">
                    <w:rPr>
                      <w:sz w:val="20"/>
                      <w:szCs w:val="20"/>
                      <w:lang w:val="en-US"/>
                    </w:rPr>
                    <w:t>factors such</w:t>
                  </w:r>
                  <w:r w:rsidRPr="00EB4BA2">
                    <w:rPr>
                      <w:sz w:val="20"/>
                      <w:szCs w:val="20"/>
                      <w:lang w:val="en-US"/>
                    </w:rPr>
                    <w:t xml:space="preserve"> as economic and security dependence of small powers on middle and great powers or peripheral states to central states, and the formation of foreign policies by those dependencies.</w:t>
                  </w:r>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44A3EFB0" w:rsidR="00731977" w:rsidRPr="00EB4BA2" w:rsidRDefault="00EB4BA2" w:rsidP="00EB4BA2">
                  <w:pPr>
                    <w:rPr>
                      <w:sz w:val="20"/>
                      <w:szCs w:val="20"/>
                      <w:lang w:val="en-US"/>
                    </w:rPr>
                  </w:pPr>
                  <w:r w:rsidRPr="00EB4BA2">
                    <w:rPr>
                      <w:sz w:val="20"/>
                      <w:szCs w:val="20"/>
                      <w:lang w:val="en-US"/>
                    </w:rPr>
                    <w:t>Students will be able to examine how psychological conditions of leaders direct foreign policies of states, and different leadership styles in foreign policy by classifying them as objective-oriented and environment-considering.</w:t>
                  </w:r>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584EF708" w14:textId="602EFDF0" w:rsidR="00731977" w:rsidRPr="00EB4BA2" w:rsidRDefault="00EB4BA2" w:rsidP="00EB4BA2">
                  <w:pPr>
                    <w:rPr>
                      <w:sz w:val="20"/>
                      <w:szCs w:val="20"/>
                      <w:lang w:val="en-US"/>
                    </w:rPr>
                  </w:pPr>
                  <w:r w:rsidRPr="00EB4BA2">
                    <w:rPr>
                      <w:sz w:val="20"/>
                      <w:szCs w:val="20"/>
                      <w:lang w:val="en-US"/>
                    </w:rPr>
                    <w:t>Students will be able to describe the Rational Actor Model, Bureaucratic Politics Model, and Organizational Process Model in the foreign policy decision-making process.</w:t>
                  </w:r>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1CF80C12" w:rsidR="00731977" w:rsidRPr="00EB4BA2" w:rsidRDefault="00EB4BA2" w:rsidP="00EB4BA2">
                  <w:pPr>
                    <w:rPr>
                      <w:sz w:val="20"/>
                      <w:szCs w:val="20"/>
                      <w:lang w:val="en-US"/>
                    </w:rPr>
                  </w:pPr>
                  <w:r w:rsidRPr="00EB4BA2">
                    <w:rPr>
                      <w:sz w:val="20"/>
                      <w:szCs w:val="20"/>
                      <w:lang w:val="en-US"/>
                    </w:rPr>
                    <w:t>Students will be able to distinguish between rational and cognitive approaches to foreign policy analysis and decision-making.</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722FA937" w:rsidR="00731977" w:rsidRPr="00BE497A" w:rsidRDefault="00BE497A" w:rsidP="00731977">
                  <w:pPr>
                    <w:jc w:val="both"/>
                    <w:rPr>
                      <w:sz w:val="20"/>
                      <w:szCs w:val="20"/>
                      <w:lang w:val="en-US"/>
                    </w:rPr>
                  </w:pPr>
                  <w:r w:rsidRPr="00BE497A">
                    <w:rPr>
                      <w:sz w:val="20"/>
                      <w:szCs w:val="20"/>
                      <w:lang w:val="en-US"/>
                    </w:rPr>
                    <w:t>PO1.</w:t>
                  </w:r>
                </w:p>
              </w:tc>
              <w:tc>
                <w:tcPr>
                  <w:tcW w:w="7784" w:type="dxa"/>
                </w:tcPr>
                <w:p w14:paraId="38E32BB7" w14:textId="6ADF0545" w:rsidR="00731977" w:rsidRPr="002246C6" w:rsidRDefault="00BE497A" w:rsidP="00731977">
                  <w:pPr>
                    <w:jc w:val="both"/>
                    <w:rPr>
                      <w:rFonts w:ascii="Carlito" w:hAnsi="Carlito"/>
                      <w:lang w:val="en-US"/>
                    </w:rPr>
                  </w:pPr>
                  <w:r w:rsidRPr="002246C6">
                    <w:rPr>
                      <w:rFonts w:ascii="Carlito" w:hAnsi="Carlito"/>
                      <w:sz w:val="20"/>
                      <w:szCs w:val="20"/>
                      <w:lang w:val="en-US"/>
                    </w:rPr>
                    <w:t>Ability to access and use advanced conceptual, theoretical, and empirical knowledge in the light of current academic resources in the discipline and branches of International Relations.</w:t>
                  </w:r>
                </w:p>
              </w:tc>
            </w:tr>
            <w:tr w:rsidR="00731977" w:rsidRPr="002E6734" w14:paraId="109BAA97" w14:textId="77777777" w:rsidTr="00A25E79">
              <w:trPr>
                <w:trHeight w:val="268"/>
              </w:trPr>
              <w:tc>
                <w:tcPr>
                  <w:tcW w:w="1024" w:type="dxa"/>
                </w:tcPr>
                <w:p w14:paraId="65ED327B" w14:textId="4D1DE689" w:rsidR="00731977" w:rsidRPr="00BE497A" w:rsidRDefault="00BE497A" w:rsidP="00731977">
                  <w:pPr>
                    <w:jc w:val="both"/>
                    <w:rPr>
                      <w:sz w:val="20"/>
                      <w:szCs w:val="20"/>
                      <w:lang w:val="en-US"/>
                    </w:rPr>
                  </w:pPr>
                  <w:r w:rsidRPr="00BE497A">
                    <w:rPr>
                      <w:sz w:val="20"/>
                      <w:szCs w:val="20"/>
                      <w:lang w:val="en-US"/>
                    </w:rPr>
                    <w:t>PO2.</w:t>
                  </w:r>
                </w:p>
              </w:tc>
              <w:tc>
                <w:tcPr>
                  <w:tcW w:w="7784" w:type="dxa"/>
                </w:tcPr>
                <w:p w14:paraId="57B68867" w14:textId="4E6FE421" w:rsidR="00731977" w:rsidRPr="002246C6" w:rsidRDefault="00BE497A" w:rsidP="00731977">
                  <w:pPr>
                    <w:jc w:val="both"/>
                    <w:rPr>
                      <w:rFonts w:ascii="Carlito" w:hAnsi="Carlito"/>
                      <w:sz w:val="20"/>
                      <w:szCs w:val="20"/>
                      <w:lang w:val="en-US"/>
                    </w:rPr>
                  </w:pPr>
                  <w:r w:rsidRPr="002246C6">
                    <w:rPr>
                      <w:rFonts w:ascii="Carlito" w:hAnsi="Carlito"/>
                      <w:sz w:val="20"/>
                      <w:szCs w:val="20"/>
                      <w:lang w:val="en-US"/>
                    </w:rPr>
                    <w:t>Ability to collect data, conduct analyses, and scientific evaluations using research methods in International Relations.</w:t>
                  </w:r>
                </w:p>
              </w:tc>
            </w:tr>
            <w:tr w:rsidR="00731977" w:rsidRPr="002E6734" w14:paraId="57915FD8" w14:textId="77777777" w:rsidTr="00A25E79">
              <w:trPr>
                <w:trHeight w:val="280"/>
              </w:trPr>
              <w:tc>
                <w:tcPr>
                  <w:tcW w:w="1024" w:type="dxa"/>
                </w:tcPr>
                <w:p w14:paraId="3EEC2E29" w14:textId="4A3F405D" w:rsidR="00731977" w:rsidRPr="007E79E6" w:rsidRDefault="007E79E6" w:rsidP="00731977">
                  <w:pPr>
                    <w:jc w:val="both"/>
                    <w:rPr>
                      <w:sz w:val="20"/>
                      <w:szCs w:val="20"/>
                      <w:lang w:val="en-US"/>
                    </w:rPr>
                  </w:pPr>
                  <w:r w:rsidRPr="007E79E6">
                    <w:rPr>
                      <w:sz w:val="20"/>
                      <w:szCs w:val="20"/>
                      <w:lang w:val="en-US"/>
                    </w:rPr>
                    <w:t>PO6.</w:t>
                  </w:r>
                </w:p>
              </w:tc>
              <w:tc>
                <w:tcPr>
                  <w:tcW w:w="7784" w:type="dxa"/>
                </w:tcPr>
                <w:p w14:paraId="05B3A36E" w14:textId="2C219477" w:rsidR="00731977" w:rsidRPr="002246C6" w:rsidRDefault="007E79E6" w:rsidP="00731977">
                  <w:pPr>
                    <w:jc w:val="both"/>
                    <w:rPr>
                      <w:rFonts w:ascii="Carlito" w:hAnsi="Carlito"/>
                      <w:sz w:val="20"/>
                      <w:szCs w:val="20"/>
                      <w:lang w:val="en-US"/>
                    </w:rPr>
                  </w:pPr>
                  <w:r w:rsidRPr="002246C6">
                    <w:rPr>
                      <w:rFonts w:ascii="Carlito" w:hAnsi="Carlito"/>
                      <w:sz w:val="20"/>
                      <w:szCs w:val="20"/>
                      <w:lang w:val="en-US"/>
                    </w:rPr>
                    <w:t>Ability to follow academic developments in the discipline and communicate with colleagues using the English language.</w:t>
                  </w:r>
                </w:p>
              </w:tc>
            </w:tr>
            <w:tr w:rsidR="00731977" w:rsidRPr="002E6734" w14:paraId="30202A05" w14:textId="77777777" w:rsidTr="00A25E79">
              <w:trPr>
                <w:trHeight w:val="268"/>
              </w:trPr>
              <w:tc>
                <w:tcPr>
                  <w:tcW w:w="1024" w:type="dxa"/>
                </w:tcPr>
                <w:p w14:paraId="7F16B3BD" w14:textId="4AE8487E" w:rsidR="00731977" w:rsidRPr="007E79E6" w:rsidRDefault="007E79E6" w:rsidP="00731977">
                  <w:pPr>
                    <w:jc w:val="both"/>
                    <w:rPr>
                      <w:sz w:val="20"/>
                      <w:szCs w:val="20"/>
                      <w:lang w:val="en-US"/>
                    </w:rPr>
                  </w:pPr>
                  <w:r w:rsidRPr="007E79E6">
                    <w:rPr>
                      <w:sz w:val="20"/>
                      <w:szCs w:val="20"/>
                      <w:lang w:val="en-US"/>
                    </w:rPr>
                    <w:t>PO10.</w:t>
                  </w:r>
                </w:p>
              </w:tc>
              <w:tc>
                <w:tcPr>
                  <w:tcW w:w="7784" w:type="dxa"/>
                </w:tcPr>
                <w:p w14:paraId="24FA446F" w14:textId="4096AABF" w:rsidR="00731977" w:rsidRPr="002246C6" w:rsidRDefault="007E79E6" w:rsidP="00731977">
                  <w:pPr>
                    <w:jc w:val="both"/>
                    <w:rPr>
                      <w:rFonts w:ascii="Carlito" w:hAnsi="Carlito"/>
                      <w:sz w:val="20"/>
                      <w:szCs w:val="20"/>
                      <w:lang w:val="en-US"/>
                    </w:rPr>
                  </w:pPr>
                  <w:r w:rsidRPr="002246C6">
                    <w:rPr>
                      <w:rFonts w:ascii="Carlito" w:hAnsi="Carlito"/>
                      <w:sz w:val="20"/>
                      <w:szCs w:val="20"/>
                      <w:lang w:val="en-US"/>
                    </w:rPr>
                    <w:t>Ability to inform relevant people or institutions on International Relations issues, to convey thoughts and solution suggestions for problems to experts and non-experts in written and verbal form, supported by quantitative and qualitative data.</w:t>
                  </w:r>
                </w:p>
              </w:tc>
            </w:tr>
            <w:tr w:rsidR="00731977" w:rsidRPr="002E6734" w14:paraId="089B4BCC" w14:textId="77777777" w:rsidTr="00A25E79">
              <w:trPr>
                <w:trHeight w:val="280"/>
              </w:trPr>
              <w:tc>
                <w:tcPr>
                  <w:tcW w:w="1024" w:type="dxa"/>
                </w:tcPr>
                <w:p w14:paraId="5CF8D788" w14:textId="3271DF8E" w:rsidR="00731977" w:rsidRPr="007E79E6" w:rsidRDefault="007E79E6" w:rsidP="00731977">
                  <w:pPr>
                    <w:jc w:val="both"/>
                    <w:rPr>
                      <w:sz w:val="20"/>
                      <w:szCs w:val="20"/>
                      <w:lang w:val="en-US"/>
                    </w:rPr>
                  </w:pPr>
                  <w:r w:rsidRPr="007E79E6">
                    <w:rPr>
                      <w:sz w:val="20"/>
                      <w:szCs w:val="20"/>
                      <w:lang w:val="en-US"/>
                    </w:rPr>
                    <w:t>PO12.</w:t>
                  </w:r>
                </w:p>
              </w:tc>
              <w:tc>
                <w:tcPr>
                  <w:tcW w:w="7784" w:type="dxa"/>
                </w:tcPr>
                <w:p w14:paraId="517174D1" w14:textId="0A61B436" w:rsidR="00731977" w:rsidRPr="002246C6" w:rsidRDefault="007E79E6" w:rsidP="00731977">
                  <w:pPr>
                    <w:jc w:val="both"/>
                    <w:rPr>
                      <w:rFonts w:ascii="Carlito" w:hAnsi="Carlito"/>
                      <w:sz w:val="20"/>
                      <w:szCs w:val="20"/>
                      <w:lang w:val="en-US"/>
                    </w:rPr>
                  </w:pPr>
                  <w:r w:rsidRPr="002246C6">
                    <w:rPr>
                      <w:rFonts w:ascii="Carlito" w:hAnsi="Carlito"/>
                      <w:sz w:val="20"/>
                      <w:szCs w:val="20"/>
                      <w:lang w:val="en-US"/>
                    </w:rPr>
                    <w:t>Growing up as individuals who can contribute to social development, who are intellectual, reliable, creative, and who look at situations and events objectively and critically.</w:t>
                  </w:r>
                </w:p>
              </w:tc>
            </w:tr>
            <w:tr w:rsidR="00731977" w:rsidRPr="002E6734" w14:paraId="17464FAF" w14:textId="77777777" w:rsidTr="00A25E79">
              <w:trPr>
                <w:trHeight w:val="280"/>
              </w:trPr>
              <w:tc>
                <w:tcPr>
                  <w:tcW w:w="1024" w:type="dxa"/>
                </w:tcPr>
                <w:p w14:paraId="48B78ABB" w14:textId="77777777" w:rsidR="00731977" w:rsidRPr="002E6734" w:rsidRDefault="00731977" w:rsidP="00731977">
                  <w:pPr>
                    <w:jc w:val="both"/>
                    <w:rPr>
                      <w:lang w:val="en-US"/>
                    </w:rPr>
                  </w:pPr>
                </w:p>
              </w:tc>
              <w:tc>
                <w:tcPr>
                  <w:tcW w:w="7784" w:type="dxa"/>
                </w:tcPr>
                <w:p w14:paraId="4451F58F" w14:textId="77777777" w:rsidR="00731977" w:rsidRPr="002E6734" w:rsidRDefault="00731977" w:rsidP="00731977">
                  <w:pPr>
                    <w:jc w:val="both"/>
                    <w:rPr>
                      <w:lang w:val="en-US"/>
                    </w:rPr>
                  </w:pPr>
                </w:p>
              </w:tc>
            </w:tr>
            <w:tr w:rsidR="00731977" w:rsidRPr="002E6734" w14:paraId="59554A46" w14:textId="77777777" w:rsidTr="00A25E79">
              <w:trPr>
                <w:trHeight w:val="280"/>
              </w:trPr>
              <w:tc>
                <w:tcPr>
                  <w:tcW w:w="1024" w:type="dxa"/>
                </w:tcPr>
                <w:p w14:paraId="7F6BB327" w14:textId="77777777" w:rsidR="00731977" w:rsidRPr="002E6734" w:rsidRDefault="00731977" w:rsidP="00731977">
                  <w:pPr>
                    <w:jc w:val="both"/>
                    <w:rPr>
                      <w:lang w:val="en-US"/>
                    </w:rPr>
                  </w:pPr>
                </w:p>
              </w:tc>
              <w:tc>
                <w:tcPr>
                  <w:tcW w:w="7784" w:type="dxa"/>
                </w:tcPr>
                <w:p w14:paraId="61C4E36A" w14:textId="77777777" w:rsidR="00731977" w:rsidRPr="002E6734" w:rsidRDefault="00731977" w:rsidP="00731977">
                  <w:pPr>
                    <w:jc w:val="both"/>
                    <w:rPr>
                      <w:lang w:val="en-US"/>
                    </w:rPr>
                  </w:pPr>
                </w:p>
              </w:tc>
            </w:tr>
            <w:tr w:rsidR="00731977" w:rsidRPr="002E6734" w14:paraId="1487A263" w14:textId="77777777" w:rsidTr="00A25E79">
              <w:trPr>
                <w:trHeight w:val="280"/>
              </w:trPr>
              <w:tc>
                <w:tcPr>
                  <w:tcW w:w="1024" w:type="dxa"/>
                </w:tcPr>
                <w:p w14:paraId="380F476E" w14:textId="77777777" w:rsidR="00731977" w:rsidRPr="002E6734" w:rsidRDefault="00731977" w:rsidP="00731977">
                  <w:pPr>
                    <w:jc w:val="both"/>
                    <w:rPr>
                      <w:lang w:val="en-US"/>
                    </w:rPr>
                  </w:pPr>
                </w:p>
              </w:tc>
              <w:tc>
                <w:tcPr>
                  <w:tcW w:w="7784" w:type="dxa"/>
                </w:tcPr>
                <w:p w14:paraId="3D34254C" w14:textId="77777777" w:rsidR="00731977" w:rsidRPr="002E6734" w:rsidRDefault="00731977" w:rsidP="00731977">
                  <w:pPr>
                    <w:jc w:val="both"/>
                    <w:rPr>
                      <w:lang w:val="en-US"/>
                    </w:rPr>
                  </w:pPr>
                </w:p>
              </w:tc>
            </w:tr>
            <w:tr w:rsidR="00731977" w:rsidRPr="002E6734" w14:paraId="56E80B33" w14:textId="77777777" w:rsidTr="00A25E79">
              <w:trPr>
                <w:trHeight w:val="280"/>
              </w:trPr>
              <w:tc>
                <w:tcPr>
                  <w:tcW w:w="1024" w:type="dxa"/>
                </w:tcPr>
                <w:p w14:paraId="326D7846" w14:textId="77777777" w:rsidR="00731977" w:rsidRPr="002E6734" w:rsidRDefault="00731977" w:rsidP="00731977">
                  <w:pPr>
                    <w:jc w:val="both"/>
                    <w:rPr>
                      <w:lang w:val="en-US"/>
                    </w:rPr>
                  </w:pPr>
                </w:p>
              </w:tc>
              <w:tc>
                <w:tcPr>
                  <w:tcW w:w="7784" w:type="dxa"/>
                </w:tcPr>
                <w:p w14:paraId="2CABD3C6" w14:textId="77777777" w:rsidR="00731977" w:rsidRPr="002E6734" w:rsidRDefault="00731977" w:rsidP="00731977">
                  <w:pPr>
                    <w:jc w:val="both"/>
                    <w:rPr>
                      <w:lang w:val="en-US"/>
                    </w:rPr>
                  </w:pPr>
                </w:p>
              </w:tc>
            </w:tr>
            <w:tr w:rsidR="00731977" w:rsidRPr="002E6734" w14:paraId="4882A89C" w14:textId="77777777" w:rsidTr="00A25E79">
              <w:trPr>
                <w:trHeight w:val="280"/>
              </w:trPr>
              <w:tc>
                <w:tcPr>
                  <w:tcW w:w="1024" w:type="dxa"/>
                </w:tcPr>
                <w:p w14:paraId="1F028D2E" w14:textId="77777777" w:rsidR="00731977" w:rsidRPr="002E6734" w:rsidRDefault="00731977" w:rsidP="00731977">
                  <w:pPr>
                    <w:jc w:val="both"/>
                    <w:rPr>
                      <w:lang w:val="en-US"/>
                    </w:rPr>
                  </w:pPr>
                </w:p>
              </w:tc>
              <w:tc>
                <w:tcPr>
                  <w:tcW w:w="7784" w:type="dxa"/>
                </w:tcPr>
                <w:p w14:paraId="3FEED588" w14:textId="77777777" w:rsidR="00731977" w:rsidRPr="002E6734" w:rsidRDefault="00731977" w:rsidP="00731977">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4A738134" w:rsidR="00EF389B" w:rsidRPr="002E6734" w:rsidRDefault="002246C6" w:rsidP="00EF389B">
            <w:pPr>
              <w:pStyle w:val="TableParagraph"/>
              <w:ind w:left="110"/>
              <w:jc w:val="both"/>
              <w:rPr>
                <w:sz w:val="20"/>
                <w:lang w:val="en-US"/>
              </w:rPr>
            </w:pPr>
            <w:r w:rsidRPr="002246C6">
              <w:rPr>
                <w:sz w:val="20"/>
                <w:lang w:val="en-US"/>
              </w:rPr>
              <w:t>The students will be able to have knowledge of different advanced theoretical approaches and practical applications supported by textbooks and other relevant course material containing up-to-date information in the field of foreign policy analysis.</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5A558B8F" w:rsidR="00AF3427" w:rsidRPr="00BE497A" w:rsidRDefault="00BE497A" w:rsidP="00AF3427">
                  <w:pPr>
                    <w:jc w:val="both"/>
                    <w:rPr>
                      <w:sz w:val="20"/>
                      <w:szCs w:val="20"/>
                      <w:lang w:val="en-US"/>
                    </w:rPr>
                  </w:pPr>
                  <w:r w:rsidRPr="00BE497A">
                    <w:rPr>
                      <w:sz w:val="20"/>
                      <w:szCs w:val="20"/>
                      <w:lang w:val="en-US"/>
                    </w:rPr>
                    <w:t>Introduction to the foreign policy and FPA: a theoretical and analytical framework</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3E95FF18" w:rsidR="00AF3427" w:rsidRPr="00BE497A" w:rsidRDefault="00BE497A" w:rsidP="00AF3427">
                  <w:pPr>
                    <w:jc w:val="both"/>
                    <w:rPr>
                      <w:sz w:val="20"/>
                      <w:szCs w:val="20"/>
                      <w:lang w:val="en-US"/>
                    </w:rPr>
                  </w:pPr>
                  <w:r w:rsidRPr="00BE497A">
                    <w:rPr>
                      <w:sz w:val="20"/>
                      <w:szCs w:val="20"/>
                      <w:lang w:val="en-US"/>
                    </w:rPr>
                    <w:t>Tools, methods, and resources of foreign policy decision-making and FPA</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29508852" w:rsidR="00AF3427" w:rsidRPr="00BE497A" w:rsidRDefault="00BE497A" w:rsidP="00AF3427">
                  <w:pPr>
                    <w:jc w:val="both"/>
                    <w:rPr>
                      <w:sz w:val="20"/>
                      <w:szCs w:val="20"/>
                      <w:lang w:val="en-US"/>
                    </w:rPr>
                  </w:pPr>
                  <w:r w:rsidRPr="00BE497A">
                    <w:rPr>
                      <w:sz w:val="20"/>
                      <w:szCs w:val="20"/>
                      <w:lang w:val="en-US"/>
                    </w:rPr>
                    <w:t>Leading IR theories (realism/liberalism/constructivism) and foreign policy analysis</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4B53B727" w:rsidR="00AF3427" w:rsidRPr="00BE497A" w:rsidRDefault="00BE497A" w:rsidP="00AF3427">
                  <w:pPr>
                    <w:jc w:val="both"/>
                    <w:rPr>
                      <w:sz w:val="20"/>
                      <w:szCs w:val="20"/>
                      <w:lang w:val="en-US"/>
                    </w:rPr>
                  </w:pPr>
                  <w:r w:rsidRPr="00BE497A">
                    <w:rPr>
                      <w:sz w:val="20"/>
                      <w:szCs w:val="20"/>
                      <w:lang w:val="en-US"/>
                    </w:rPr>
                    <w:t>The level of analysis (“images”) in international politics and foreign policy analysis</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3D497DFD" w:rsidR="00AF3427" w:rsidRPr="00BE497A" w:rsidRDefault="00BE497A" w:rsidP="00AF3427">
                  <w:pPr>
                    <w:jc w:val="both"/>
                    <w:rPr>
                      <w:sz w:val="20"/>
                      <w:szCs w:val="20"/>
                      <w:lang w:val="en-US"/>
                    </w:rPr>
                  </w:pPr>
                  <w:r w:rsidRPr="00BE497A">
                    <w:rPr>
                      <w:sz w:val="20"/>
                      <w:szCs w:val="20"/>
                      <w:lang w:val="en-US"/>
                    </w:rPr>
                    <w:t>Domestic politics, political systems, political economy, and foreign policy analysis</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3D12E45F" w:rsidR="00AF3427" w:rsidRPr="00BE497A" w:rsidRDefault="00BE497A" w:rsidP="00AF3427">
                  <w:pPr>
                    <w:jc w:val="both"/>
                    <w:rPr>
                      <w:sz w:val="20"/>
                      <w:szCs w:val="20"/>
                      <w:lang w:val="en-US"/>
                    </w:rPr>
                  </w:pPr>
                  <w:r w:rsidRPr="00BE497A">
                    <w:rPr>
                      <w:sz w:val="20"/>
                      <w:szCs w:val="20"/>
                      <w:lang w:val="en-US"/>
                    </w:rPr>
                    <w:t>Foreign policy concepts, foreign policy doctrines, and grand strategy</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17C771BF" w:rsidR="00AF3427" w:rsidRPr="00BE497A" w:rsidRDefault="00BE497A" w:rsidP="00AF3427">
                  <w:pPr>
                    <w:jc w:val="both"/>
                    <w:rPr>
                      <w:sz w:val="20"/>
                      <w:szCs w:val="20"/>
                      <w:lang w:val="en-US"/>
                    </w:rPr>
                  </w:pPr>
                  <w:r w:rsidRPr="00BE497A">
                    <w:rPr>
                      <w:sz w:val="20"/>
                      <w:szCs w:val="20"/>
                      <w:lang w:val="en-US"/>
                    </w:rPr>
                    <w:t>Foreign policy formulation cycles and relevant case study analysis</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BE497A" w:rsidRDefault="00AF3427" w:rsidP="00AF3427">
                  <w:pPr>
                    <w:jc w:val="both"/>
                    <w:rPr>
                      <w:sz w:val="20"/>
                      <w:szCs w:val="20"/>
                      <w:lang w:val="en-US"/>
                    </w:rPr>
                  </w:pPr>
                  <w:r w:rsidRPr="00BE497A">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303565FC" w:rsidR="00AF3427" w:rsidRPr="00BE497A" w:rsidRDefault="00BE497A" w:rsidP="00AF3427">
                  <w:pPr>
                    <w:jc w:val="both"/>
                    <w:rPr>
                      <w:sz w:val="20"/>
                      <w:szCs w:val="20"/>
                      <w:lang w:val="en-US"/>
                    </w:rPr>
                  </w:pPr>
                  <w:r w:rsidRPr="00BE497A">
                    <w:rPr>
                      <w:sz w:val="20"/>
                      <w:szCs w:val="20"/>
                      <w:lang w:val="en-US"/>
                    </w:rPr>
                    <w:t>Individual and group decision-making, and small group dynamics</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1680225E" w:rsidR="00AF3427" w:rsidRPr="00BE497A" w:rsidRDefault="00BE497A" w:rsidP="00AF3427">
                  <w:pPr>
                    <w:jc w:val="both"/>
                    <w:rPr>
                      <w:sz w:val="20"/>
                      <w:szCs w:val="20"/>
                      <w:lang w:val="en-US"/>
                    </w:rPr>
                  </w:pPr>
                  <w:r w:rsidRPr="00BE497A">
                    <w:rPr>
                      <w:sz w:val="20"/>
                      <w:szCs w:val="20"/>
                      <w:lang w:val="en-US"/>
                    </w:rPr>
                    <w:t>Leadership Trait Analysis (LTA)</w:t>
                  </w:r>
                  <w:r>
                    <w:rPr>
                      <w:sz w:val="20"/>
                      <w:szCs w:val="20"/>
                      <w:lang w:val="en-US"/>
                    </w:rPr>
                    <w:t xml:space="preserve"> and </w:t>
                  </w:r>
                  <w:r w:rsidRPr="00BE497A">
                    <w:rPr>
                      <w:sz w:val="20"/>
                      <w:szCs w:val="20"/>
                      <w:lang w:val="en-US"/>
                    </w:rPr>
                    <w:t xml:space="preserve">Operational </w:t>
                  </w:r>
                  <w:r>
                    <w:rPr>
                      <w:sz w:val="20"/>
                      <w:szCs w:val="20"/>
                      <w:lang w:val="en-US"/>
                    </w:rPr>
                    <w:t>Code Analysis (OCA)</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3101BEC1" w:rsidR="00AF3427" w:rsidRPr="00BE497A" w:rsidRDefault="00E87A4A" w:rsidP="00AF3427">
                  <w:pPr>
                    <w:jc w:val="both"/>
                    <w:rPr>
                      <w:sz w:val="20"/>
                      <w:szCs w:val="20"/>
                      <w:lang w:val="en-US"/>
                    </w:rPr>
                  </w:pPr>
                  <w:r>
                    <w:rPr>
                      <w:sz w:val="20"/>
                      <w:szCs w:val="20"/>
                      <w:lang w:val="en-US"/>
                    </w:rPr>
                    <w:t xml:space="preserve">Case studies and simulations on the </w:t>
                  </w:r>
                  <w:r w:rsidRPr="00E87A4A">
                    <w:rPr>
                      <w:sz w:val="20"/>
                      <w:szCs w:val="20"/>
                      <w:lang w:val="en-US"/>
                    </w:rPr>
                    <w:t xml:space="preserve">groupthink and </w:t>
                  </w:r>
                  <w:proofErr w:type="spellStart"/>
                  <w:r w:rsidRPr="00E87A4A">
                    <w:rPr>
                      <w:sz w:val="20"/>
                      <w:szCs w:val="20"/>
                      <w:lang w:val="en-US"/>
                    </w:rPr>
                    <w:t>polythink</w:t>
                  </w:r>
                  <w:proofErr w:type="spellEnd"/>
                  <w:r>
                    <w:rPr>
                      <w:sz w:val="20"/>
                      <w:szCs w:val="20"/>
                      <w:lang w:val="en-US"/>
                    </w:rPr>
                    <w:t xml:space="preserve"> models</w:t>
                  </w:r>
                </w:p>
              </w:tc>
            </w:tr>
            <w:tr w:rsidR="00BE497A" w:rsidRPr="002E6734" w14:paraId="238A262F" w14:textId="77777777" w:rsidTr="00651F0F">
              <w:tc>
                <w:tcPr>
                  <w:tcW w:w="1024" w:type="dxa"/>
                </w:tcPr>
                <w:p w14:paraId="353F6204" w14:textId="51E6C8D2" w:rsidR="00BE497A" w:rsidRPr="002E6734" w:rsidRDefault="00BE497A" w:rsidP="00BE497A">
                  <w:pPr>
                    <w:jc w:val="both"/>
                    <w:rPr>
                      <w:lang w:val="en-US"/>
                    </w:rPr>
                  </w:pPr>
                  <w:r w:rsidRPr="002E6734">
                    <w:rPr>
                      <w:sz w:val="20"/>
                      <w:szCs w:val="20"/>
                      <w:lang w:val="en-US"/>
                    </w:rPr>
                    <w:t>12. Week</w:t>
                  </w:r>
                </w:p>
              </w:tc>
              <w:tc>
                <w:tcPr>
                  <w:tcW w:w="7786" w:type="dxa"/>
                </w:tcPr>
                <w:p w14:paraId="5B9FFBC2" w14:textId="2AD275B2" w:rsidR="00BE497A" w:rsidRPr="00BE497A" w:rsidRDefault="00BE497A" w:rsidP="00BE497A">
                  <w:pPr>
                    <w:jc w:val="both"/>
                    <w:rPr>
                      <w:sz w:val="20"/>
                      <w:szCs w:val="20"/>
                      <w:lang w:val="en-US"/>
                    </w:rPr>
                  </w:pPr>
                  <w:r w:rsidRPr="00BE497A">
                    <w:rPr>
                      <w:sz w:val="20"/>
                      <w:szCs w:val="20"/>
                      <w:lang w:val="en-US"/>
                    </w:rPr>
                    <w:t>Organizational processes model in the foreign policy decision-making process</w:t>
                  </w:r>
                </w:p>
              </w:tc>
            </w:tr>
            <w:tr w:rsidR="00BE497A" w:rsidRPr="002E6734" w14:paraId="1B337996" w14:textId="77777777" w:rsidTr="00651F0F">
              <w:tc>
                <w:tcPr>
                  <w:tcW w:w="1024" w:type="dxa"/>
                </w:tcPr>
                <w:p w14:paraId="05E79159" w14:textId="796E7069" w:rsidR="00BE497A" w:rsidRPr="002E6734" w:rsidRDefault="00BE497A" w:rsidP="00BE497A">
                  <w:pPr>
                    <w:jc w:val="both"/>
                    <w:rPr>
                      <w:lang w:val="en-US"/>
                    </w:rPr>
                  </w:pPr>
                  <w:r w:rsidRPr="002E6734">
                    <w:rPr>
                      <w:sz w:val="20"/>
                      <w:szCs w:val="20"/>
                      <w:lang w:val="en-US"/>
                    </w:rPr>
                    <w:t>13. Week</w:t>
                  </w:r>
                </w:p>
              </w:tc>
              <w:tc>
                <w:tcPr>
                  <w:tcW w:w="7786" w:type="dxa"/>
                </w:tcPr>
                <w:p w14:paraId="1FBFC69F" w14:textId="66F9EACE" w:rsidR="00BE497A" w:rsidRPr="002E6734" w:rsidRDefault="00BE497A" w:rsidP="00BE497A">
                  <w:pPr>
                    <w:jc w:val="both"/>
                    <w:rPr>
                      <w:lang w:val="en-US"/>
                    </w:rPr>
                  </w:pPr>
                  <w:r w:rsidRPr="00BE497A">
                    <w:rPr>
                      <w:sz w:val="20"/>
                      <w:szCs w:val="20"/>
                      <w:lang w:val="en-US"/>
                    </w:rPr>
                    <w:t>The bureaucratic politics model in the foreign policy decision-making process</w:t>
                  </w:r>
                </w:p>
              </w:tc>
            </w:tr>
            <w:tr w:rsidR="00BE497A" w:rsidRPr="002E6734" w14:paraId="4E57598D" w14:textId="77777777" w:rsidTr="00651F0F">
              <w:tc>
                <w:tcPr>
                  <w:tcW w:w="1024" w:type="dxa"/>
                </w:tcPr>
                <w:p w14:paraId="20CC2F55" w14:textId="292320B8" w:rsidR="00BE497A" w:rsidRPr="002E6734" w:rsidRDefault="00BE497A" w:rsidP="00BE497A">
                  <w:pPr>
                    <w:jc w:val="both"/>
                    <w:rPr>
                      <w:lang w:val="en-US"/>
                    </w:rPr>
                  </w:pPr>
                  <w:r w:rsidRPr="002E6734">
                    <w:rPr>
                      <w:sz w:val="20"/>
                      <w:szCs w:val="20"/>
                      <w:lang w:val="en-US"/>
                    </w:rPr>
                    <w:t>14. Week</w:t>
                  </w:r>
                </w:p>
              </w:tc>
              <w:tc>
                <w:tcPr>
                  <w:tcW w:w="7786" w:type="dxa"/>
                </w:tcPr>
                <w:p w14:paraId="5440A06D" w14:textId="1CB1C312" w:rsidR="00BE497A" w:rsidRPr="002E6734" w:rsidRDefault="00BE497A" w:rsidP="00BE497A">
                  <w:pPr>
                    <w:jc w:val="both"/>
                    <w:rPr>
                      <w:lang w:val="en-US"/>
                    </w:rPr>
                  </w:pPr>
                  <w:r w:rsidRPr="00BE497A">
                    <w:rPr>
                      <w:sz w:val="20"/>
                      <w:szCs w:val="20"/>
                      <w:lang w:val="en-US"/>
                    </w:rPr>
                    <w:t>Rational choice theory and the rational actor model in foreign policy analysis</w:t>
                  </w:r>
                </w:p>
              </w:tc>
            </w:tr>
            <w:tr w:rsidR="00BE497A" w:rsidRPr="002E6734" w14:paraId="0A7F942A" w14:textId="77777777" w:rsidTr="00651F0F">
              <w:tc>
                <w:tcPr>
                  <w:tcW w:w="1024" w:type="dxa"/>
                </w:tcPr>
                <w:p w14:paraId="08135BE7" w14:textId="107D7081" w:rsidR="00BE497A" w:rsidRPr="002E6734" w:rsidRDefault="00BE497A" w:rsidP="00BE497A">
                  <w:pPr>
                    <w:jc w:val="both"/>
                    <w:rPr>
                      <w:lang w:val="en-US"/>
                    </w:rPr>
                  </w:pPr>
                  <w:r w:rsidRPr="002E6734">
                    <w:rPr>
                      <w:sz w:val="20"/>
                      <w:szCs w:val="20"/>
                      <w:lang w:val="en-US"/>
                    </w:rPr>
                    <w:t>15. Week</w:t>
                  </w:r>
                </w:p>
              </w:tc>
              <w:tc>
                <w:tcPr>
                  <w:tcW w:w="7786" w:type="dxa"/>
                </w:tcPr>
                <w:p w14:paraId="69B9730C" w14:textId="70F6D230" w:rsidR="00BE497A" w:rsidRPr="002E6734" w:rsidRDefault="00BE497A" w:rsidP="00BE497A">
                  <w:pPr>
                    <w:jc w:val="both"/>
                    <w:rPr>
                      <w:lang w:val="en-US"/>
                    </w:rPr>
                  </w:pPr>
                  <w:r w:rsidRPr="00BE497A">
                    <w:rPr>
                      <w:sz w:val="20"/>
                      <w:szCs w:val="20"/>
                      <w:lang w:val="en-US"/>
                    </w:rPr>
                    <w:t>Robert Putnam’s two-level games theory and its application in foreign policy</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7E79E6">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588BA379" w:rsidR="002E6734" w:rsidRPr="002E6734" w:rsidRDefault="00E87A4A" w:rsidP="007E79E6">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2AD688F4" w:rsidR="002E6734" w:rsidRPr="002E6734" w:rsidRDefault="00E87A4A"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40</w:t>
                  </w:r>
                  <w:r w:rsidR="002E6734" w:rsidRPr="002E6734">
                    <w:rPr>
                      <w:rFonts w:ascii="Calibri" w:eastAsia="Times New Roman" w:hAnsi="Calibri" w:cs="Calibri"/>
                      <w:color w:val="3B3A36"/>
                      <w:sz w:val="20"/>
                      <w:szCs w:val="20"/>
                      <w:lang w:val="en-US" w:eastAsia="tr-TR"/>
                    </w:rPr>
                    <w:t>%</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7E79E6">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559DA001" w:rsidR="002E6734" w:rsidRPr="002E6734" w:rsidRDefault="00E87A4A" w:rsidP="007E79E6">
                  <w:pPr>
                    <w:rPr>
                      <w:rFonts w:ascii="Calibri" w:hAnsi="Calibri" w:cs="Calibri"/>
                      <w:sz w:val="20"/>
                      <w:szCs w:val="20"/>
                      <w:lang w:val="en-US"/>
                    </w:rPr>
                  </w:pPr>
                  <w:r>
                    <w:rPr>
                      <w:rFonts w:ascii="Calibri" w:hAnsi="Calibri" w:cs="Calibri"/>
                      <w:sz w:val="20"/>
                      <w:szCs w:val="20"/>
                      <w:lang w:val="en-US"/>
                    </w:rPr>
                    <w:t>10</w:t>
                  </w:r>
                </w:p>
              </w:tc>
              <w:tc>
                <w:tcPr>
                  <w:tcW w:w="3020" w:type="dxa"/>
                </w:tcPr>
                <w:p w14:paraId="4618C465" w14:textId="534BCC99" w:rsidR="002E6734" w:rsidRPr="002E6734" w:rsidRDefault="00E87A4A" w:rsidP="002E6734">
                  <w:pPr>
                    <w:rPr>
                      <w:rFonts w:ascii="Calibri" w:hAnsi="Calibri" w:cs="Calibri"/>
                      <w:sz w:val="20"/>
                      <w:szCs w:val="20"/>
                      <w:lang w:val="en-US"/>
                    </w:rPr>
                  </w:pPr>
                  <w:r>
                    <w:rPr>
                      <w:rFonts w:ascii="Calibri" w:eastAsia="Times New Roman" w:hAnsi="Calibri" w:cs="Calibri"/>
                      <w:color w:val="3B3A36"/>
                      <w:sz w:val="20"/>
                      <w:szCs w:val="20"/>
                      <w:lang w:val="en-US" w:eastAsia="tr-TR"/>
                    </w:rPr>
                    <w:t>20</w:t>
                  </w:r>
                  <w:r w:rsidR="002E6734"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7E79E6">
                  <w:pPr>
                    <w:rPr>
                      <w:rFonts w:ascii="Calibri" w:hAnsi="Calibri" w:cs="Calibri"/>
                      <w:sz w:val="20"/>
                      <w:szCs w:val="20"/>
                      <w:lang w:val="en-US"/>
                    </w:rPr>
                  </w:pP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7E79E6">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7E79E6">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567C5ABB" w:rsidR="002E6734" w:rsidRPr="002E6734" w:rsidRDefault="00E87A4A" w:rsidP="007E79E6">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67B91903" w:rsidR="002E6734" w:rsidRPr="002E6734" w:rsidRDefault="00E87A4A" w:rsidP="002E6734">
                  <w:pPr>
                    <w:rPr>
                      <w:rFonts w:ascii="Calibri" w:hAnsi="Calibri" w:cs="Calibri"/>
                      <w:sz w:val="20"/>
                      <w:szCs w:val="20"/>
                      <w:lang w:val="en-US"/>
                    </w:rPr>
                  </w:pPr>
                  <w:r>
                    <w:rPr>
                      <w:rFonts w:ascii="Calibri" w:hAnsi="Calibri" w:cs="Calibri"/>
                      <w:sz w:val="20"/>
                      <w:szCs w:val="20"/>
                      <w:lang w:val="en-US"/>
                    </w:rPr>
                    <w:t>40</w:t>
                  </w:r>
                  <w:r w:rsidR="007A7AC1">
                    <w:rPr>
                      <w:rFonts w:ascii="Calibri" w:hAnsi="Calibri" w:cs="Calibri"/>
                      <w:sz w:val="20"/>
                      <w:szCs w:val="20"/>
                      <w:lang w:val="en-US"/>
                    </w:rPr>
                    <w:t>%</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768E0845" w:rsidR="002E6734" w:rsidRPr="002E6734" w:rsidRDefault="007E79E6" w:rsidP="007E79E6">
                  <w:pPr>
                    <w:rPr>
                      <w:rFonts w:ascii="Calibri" w:hAnsi="Calibri" w:cs="Calibri"/>
                      <w:b/>
                      <w:bCs/>
                      <w:sz w:val="20"/>
                      <w:szCs w:val="20"/>
                      <w:lang w:val="en-US"/>
                    </w:rPr>
                  </w:pPr>
                  <w:r>
                    <w:rPr>
                      <w:rFonts w:ascii="Calibri" w:hAnsi="Calibri" w:cs="Calibri"/>
                      <w:b/>
                      <w:bCs/>
                      <w:sz w:val="20"/>
                      <w:szCs w:val="20"/>
                      <w:lang w:val="en-US"/>
                    </w:rPr>
                    <w:t>12</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7"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246C6"/>
    <w:rsid w:val="002771FB"/>
    <w:rsid w:val="002B2984"/>
    <w:rsid w:val="002D613C"/>
    <w:rsid w:val="002E6734"/>
    <w:rsid w:val="00305F76"/>
    <w:rsid w:val="00311158"/>
    <w:rsid w:val="003404B8"/>
    <w:rsid w:val="00341C9A"/>
    <w:rsid w:val="003642A1"/>
    <w:rsid w:val="003A4938"/>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7E79E6"/>
    <w:rsid w:val="008309D1"/>
    <w:rsid w:val="0083209D"/>
    <w:rsid w:val="00871F5E"/>
    <w:rsid w:val="008B7E4A"/>
    <w:rsid w:val="008F5B0A"/>
    <w:rsid w:val="00930D25"/>
    <w:rsid w:val="009D039A"/>
    <w:rsid w:val="00A27A75"/>
    <w:rsid w:val="00A62A20"/>
    <w:rsid w:val="00A85300"/>
    <w:rsid w:val="00AE7B0A"/>
    <w:rsid w:val="00AF3427"/>
    <w:rsid w:val="00B76BB2"/>
    <w:rsid w:val="00BB53D6"/>
    <w:rsid w:val="00BC180B"/>
    <w:rsid w:val="00BE497A"/>
    <w:rsid w:val="00BF3EFD"/>
    <w:rsid w:val="00C0698A"/>
    <w:rsid w:val="00C250E5"/>
    <w:rsid w:val="00C63DB9"/>
    <w:rsid w:val="00CC3B7A"/>
    <w:rsid w:val="00CC7DF4"/>
    <w:rsid w:val="00D26E72"/>
    <w:rsid w:val="00DB2A49"/>
    <w:rsid w:val="00DD6DCD"/>
    <w:rsid w:val="00E325D4"/>
    <w:rsid w:val="00E812C2"/>
    <w:rsid w:val="00E87A4A"/>
    <w:rsid w:val="00EB0594"/>
    <w:rsid w:val="00EB4BA2"/>
    <w:rsid w:val="00EE3856"/>
    <w:rsid w:val="00EF389B"/>
    <w:rsid w:val="00F259CA"/>
    <w:rsid w:val="00FA0D12"/>
    <w:rsid w:val="00FA47B9"/>
    <w:rsid w:val="00FC518E"/>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A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slanli@aybu.edu.tr" TargetMode="External"/><Relationship Id="rId5" Type="http://schemas.openxmlformats.org/officeDocument/2006/relationships/hyperlink" Target="mailto:kenan.aslanli@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2025-10-27T09:00:00Z</dcterms:created>
  <dcterms:modified xsi:type="dcterms:W3CDTF">2025-10-27T09:00:00Z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c6aaf76a-0850-4bf8-9feb-c7476f86c964</vt:lpwstr>
  </property>
</Properties>
</file>