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B5A4C96"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 xml:space="preserve">TÜRK </w:t>
            </w:r>
            <w:r w:rsidR="000F140F">
              <w:rPr>
                <w:b/>
                <w:sz w:val="20"/>
                <w:szCs w:val="20"/>
                <w:lang w:val="en-US"/>
              </w:rPr>
              <w:t>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38A0B004" w14:textId="5B52FABA" w:rsidR="000F140F" w:rsidRPr="000F140F" w:rsidRDefault="007D2335" w:rsidP="000F140F">
            <w:pPr>
              <w:pStyle w:val="TableParagraph"/>
              <w:ind w:left="62" w:right="47"/>
              <w:jc w:val="center"/>
              <w:rPr>
                <w:sz w:val="20"/>
              </w:rPr>
            </w:pPr>
            <w:r>
              <w:rPr>
                <w:sz w:val="20"/>
              </w:rPr>
              <w:t>TM493</w:t>
            </w:r>
            <w:r w:rsidR="000F140F" w:rsidRPr="000F140F">
              <w:rPr>
                <w:sz w:val="20"/>
              </w:rPr>
              <w:t xml:space="preserve"> </w:t>
            </w:r>
          </w:p>
          <w:p w14:paraId="662124F0" w14:textId="6A1166C6" w:rsidR="00867237" w:rsidRPr="00A07762" w:rsidRDefault="00867237" w:rsidP="00423F35">
            <w:pPr>
              <w:pStyle w:val="TableParagraph"/>
              <w:ind w:left="62" w:right="47"/>
              <w:jc w:val="center"/>
              <w:rPr>
                <w:sz w:val="20"/>
              </w:rPr>
            </w:pP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624C4C0F" w:rsidR="00867237" w:rsidRPr="00A07762" w:rsidRDefault="007D2335" w:rsidP="00423F35">
            <w:pPr>
              <w:pStyle w:val="TableParagraph"/>
              <w:ind w:left="14"/>
              <w:jc w:val="center"/>
              <w:rPr>
                <w:sz w:val="20"/>
              </w:rPr>
            </w:pPr>
            <w:r>
              <w:rPr>
                <w:sz w:val="20"/>
              </w:rPr>
              <w:t>UYGULAMALI CAMİ MUSİKİSİ</w:t>
            </w:r>
          </w:p>
        </w:tc>
        <w:tc>
          <w:tcPr>
            <w:tcW w:w="1276" w:type="dxa"/>
            <w:vAlign w:val="center"/>
          </w:tcPr>
          <w:p w14:paraId="2EDFD95E" w14:textId="5E65DFB0" w:rsidR="00867237" w:rsidRPr="00A07762" w:rsidRDefault="007D2335" w:rsidP="007D2335">
            <w:pPr>
              <w:pStyle w:val="TableParagraph"/>
              <w:rPr>
                <w:sz w:val="20"/>
              </w:rPr>
            </w:pPr>
            <w:r>
              <w:rPr>
                <w:spacing w:val="-2"/>
                <w:sz w:val="20"/>
              </w:rPr>
              <w:t xml:space="preserve">      </w:t>
            </w:r>
            <w:r w:rsidR="006A602A">
              <w:rPr>
                <w:spacing w:val="-2"/>
                <w:sz w:val="20"/>
              </w:rPr>
              <w:t>Seçme</w:t>
            </w:r>
            <w:r>
              <w:rPr>
                <w:spacing w:val="-2"/>
                <w:sz w:val="20"/>
              </w:rPr>
              <w:t>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00822454" w:rsidR="00867237" w:rsidRPr="00A07762" w:rsidRDefault="007D2335"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49FCC51C" w:rsidR="00867237" w:rsidRPr="00A07762" w:rsidRDefault="00867237" w:rsidP="00423F35">
            <w:pPr>
              <w:pStyle w:val="TableParagraph"/>
              <w:ind w:left="14"/>
              <w:jc w:val="center"/>
              <w:rPr>
                <w:sz w:val="20"/>
              </w:rPr>
            </w:pP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DA4339" w:rsidRPr="00A07762" w14:paraId="54DA54A5" w14:textId="77777777" w:rsidTr="00B86D60">
        <w:trPr>
          <w:trHeight w:val="734"/>
        </w:trPr>
        <w:tc>
          <w:tcPr>
            <w:tcW w:w="1418" w:type="dxa"/>
            <w:vAlign w:val="center"/>
          </w:tcPr>
          <w:p w14:paraId="60643D40" w14:textId="2A242067" w:rsidR="00DA4339" w:rsidRPr="00A07762" w:rsidRDefault="00DA4339" w:rsidP="00DA4339">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A4339" w:rsidRPr="0001587C" w14:paraId="416CD881" w14:textId="77777777" w:rsidTr="00DA4339">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A4339" w:rsidRPr="0001587C" w14:paraId="5AAA0715" w14:textId="77777777" w:rsidTr="00445058">
                    <w:trPr>
                      <w:trHeight w:val="734"/>
                    </w:trPr>
                    <w:tc>
                      <w:tcPr>
                        <w:tcW w:w="9081" w:type="dxa"/>
                        <w:vAlign w:val="center"/>
                      </w:tcPr>
                      <w:p w14:paraId="14AA0C64" w14:textId="77777777" w:rsidR="00DA4339" w:rsidRPr="0001587C" w:rsidRDefault="00DA4339" w:rsidP="00DA4339">
                        <w:pPr>
                          <w:pStyle w:val="TableParagraph"/>
                          <w:jc w:val="both"/>
                          <w:rPr>
                            <w:sz w:val="20"/>
                          </w:rPr>
                        </w:pPr>
                        <w:r w:rsidRPr="0001587C">
                          <w:rPr>
                            <w:sz w:val="20"/>
                          </w:rPr>
                          <w:t>Doç. Dr. Mustafa Asım Akkuş / mustafaasimakkus@aybu.edu.tr</w:t>
                        </w:r>
                      </w:p>
                    </w:tc>
                  </w:tr>
                </w:tbl>
                <w:p w14:paraId="47DE97A8" w14:textId="77777777" w:rsidR="00DA4339" w:rsidRPr="0001587C" w:rsidRDefault="00DA4339" w:rsidP="00DA4339">
                  <w:pPr>
                    <w:pStyle w:val="TableParagraph"/>
                    <w:jc w:val="both"/>
                    <w:rPr>
                      <w:sz w:val="20"/>
                    </w:rPr>
                  </w:pPr>
                </w:p>
              </w:tc>
            </w:tr>
          </w:tbl>
          <w:p w14:paraId="1ABCB78D" w14:textId="3AA986ED" w:rsidR="00DA4339" w:rsidRPr="00EA0355" w:rsidRDefault="00DA4339" w:rsidP="00DA4339">
            <w:pPr>
              <w:pStyle w:val="TableParagraph"/>
              <w:jc w:val="both"/>
              <w:rPr>
                <w:sz w:val="20"/>
              </w:rPr>
            </w:pPr>
          </w:p>
        </w:tc>
      </w:tr>
      <w:tr w:rsidR="00DA4339" w:rsidRPr="00A07762" w14:paraId="644DE186" w14:textId="77777777" w:rsidTr="00B86D60">
        <w:trPr>
          <w:trHeight w:val="734"/>
        </w:trPr>
        <w:tc>
          <w:tcPr>
            <w:tcW w:w="1418" w:type="dxa"/>
            <w:vAlign w:val="center"/>
          </w:tcPr>
          <w:p w14:paraId="24CBC522" w14:textId="27CC6FD9" w:rsidR="00DA4339" w:rsidRDefault="00DA4339" w:rsidP="00DA4339">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A4339" w:rsidRPr="0001587C" w14:paraId="57D44AB2" w14:textId="77777777" w:rsidTr="00DA4339">
              <w:trPr>
                <w:trHeight w:val="734"/>
              </w:trPr>
              <w:tc>
                <w:tcPr>
                  <w:tcW w:w="9081" w:type="dxa"/>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DA4339" w:rsidRPr="0001587C" w14:paraId="4D077120" w14:textId="77777777" w:rsidTr="00445058">
                    <w:trPr>
                      <w:trHeight w:val="734"/>
                    </w:trPr>
                    <w:tc>
                      <w:tcPr>
                        <w:tcW w:w="9081" w:type="dxa"/>
                        <w:vAlign w:val="center"/>
                      </w:tcPr>
                      <w:p w14:paraId="5C4E906C" w14:textId="77777777" w:rsidR="00DA4339" w:rsidRPr="0001587C" w:rsidRDefault="00DA4339" w:rsidP="00DA4339">
                        <w:pPr>
                          <w:pStyle w:val="TableParagraph"/>
                          <w:jc w:val="both"/>
                          <w:rPr>
                            <w:sz w:val="20"/>
                          </w:rPr>
                        </w:pPr>
                        <w:r w:rsidRPr="0001587C">
                          <w:rPr>
                            <w:b/>
                            <w:bCs/>
                            <w:sz w:val="20"/>
                          </w:rPr>
                          <w:t xml:space="preserve">  </w:t>
                        </w:r>
                        <w:r w:rsidRPr="0001587C">
                          <w:rPr>
                            <w:sz w:val="20"/>
                          </w:rPr>
                          <w:t>Pazartesi 11.00-12.00 / 304</w:t>
                        </w:r>
                      </w:p>
                    </w:tc>
                  </w:tr>
                </w:tbl>
                <w:p w14:paraId="318BB610" w14:textId="77777777" w:rsidR="00DA4339" w:rsidRPr="0001587C" w:rsidRDefault="00DA4339" w:rsidP="00DA4339">
                  <w:pPr>
                    <w:pStyle w:val="TableParagraph"/>
                    <w:jc w:val="both"/>
                    <w:rPr>
                      <w:b/>
                      <w:bCs/>
                      <w:sz w:val="20"/>
                    </w:rPr>
                  </w:pPr>
                </w:p>
              </w:tc>
            </w:tr>
          </w:tbl>
          <w:p w14:paraId="38565D81" w14:textId="2FAC2926" w:rsidR="00DA4339" w:rsidRPr="00A07762" w:rsidRDefault="00DA4339" w:rsidP="00DA4339">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27C03DC4" w14:textId="77777777" w:rsidR="007D2335" w:rsidRPr="007D2335" w:rsidRDefault="007D2335" w:rsidP="007D2335">
            <w:pPr>
              <w:pStyle w:val="TableParagraph"/>
              <w:spacing w:before="54"/>
              <w:jc w:val="both"/>
              <w:rPr>
                <w:sz w:val="20"/>
              </w:rPr>
            </w:pPr>
            <w:r w:rsidRPr="007D2335">
              <w:rPr>
                <w:sz w:val="20"/>
              </w:rPr>
              <w:t>Türk Din Müziği’nin tarihsel gelişimi içinde form ve usul bilgisinin yerinin anlaşılması, form ve usul yapılarının ezgi, ritim organizasyonları ile söz-ezgi ilişkisi içindeki yerinin anlaşılması, eserlerin söz konusu yapılar bağlamında analiz edilmesi ve usul icralarının uygulanması.</w:t>
            </w:r>
          </w:p>
          <w:p w14:paraId="413F8BE2" w14:textId="42DCB2B2"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50DA5638" w14:textId="77777777" w:rsidR="007D2335" w:rsidRPr="007D2335" w:rsidRDefault="007D2335" w:rsidP="007D2335">
            <w:pPr>
              <w:pStyle w:val="TableParagraph"/>
              <w:spacing w:before="140"/>
              <w:jc w:val="both"/>
              <w:rPr>
                <w:iCs/>
                <w:sz w:val="20"/>
              </w:rPr>
            </w:pPr>
            <w:r w:rsidRPr="007D2335">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7D2335">
              <w:rPr>
                <w:iCs/>
                <w:sz w:val="20"/>
              </w:rPr>
              <w:br/>
              <w:t xml:space="preserve">Mehmet Tıraşcı, Türk Din Musikisi Ders Notları. </w:t>
            </w:r>
          </w:p>
          <w:p w14:paraId="6093A56F" w14:textId="78E6FF3A" w:rsidR="00871F5E" w:rsidRPr="00423F35" w:rsidRDefault="00871F5E" w:rsidP="006A602A">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34819412" w14:textId="77777777" w:rsidR="007D2335" w:rsidRPr="007D2335" w:rsidRDefault="007D2335" w:rsidP="007D2335">
            <w:pPr>
              <w:pStyle w:val="TableParagraph"/>
              <w:spacing w:before="159"/>
              <w:ind w:left="110"/>
              <w:jc w:val="both"/>
              <w:rPr>
                <w:sz w:val="20"/>
              </w:rPr>
            </w:pPr>
            <w:r w:rsidRPr="007D2335">
              <w:rPr>
                <w:sz w:val="20"/>
              </w:rPr>
              <w:t xml:space="preserve">Bu ders; Geleneksel Türk Din Müziği’ndeki saz müziği formları ile usül bilgisi kapsamında küçük usüllerin, söz konusu form ve usülleri işleyen örnek eserlerin analizi ve icrası yoluyla öğrenilmesine ilişkin çalışmaları içerir . </w:t>
            </w:r>
          </w:p>
          <w:p w14:paraId="008A3926" w14:textId="6F1284E7" w:rsidR="00630C60" w:rsidRPr="00EA0355" w:rsidRDefault="00630C60" w:rsidP="009B50FD">
            <w:pPr>
              <w:pStyle w:val="TableParagraph"/>
              <w:spacing w:before="159"/>
              <w:ind w:left="110"/>
              <w:jc w:val="both"/>
              <w:rPr>
                <w:sz w:val="20"/>
              </w:rPr>
            </w:pP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5D8A660" w:rsidR="003D5B92" w:rsidRDefault="00394A25" w:rsidP="003D5B92">
                  <w:pPr>
                    <w:jc w:val="both"/>
                  </w:pPr>
                  <w:r w:rsidRPr="00394A25">
                    <w:t xml:space="preserve">Öğrenci </w:t>
                  </w:r>
                  <w:r w:rsidR="007D2335">
                    <w:t>cami musikisi formlarına</w:t>
                  </w:r>
                  <w:r w:rsidRPr="00394A25">
                    <w:t xml:space="preserve"> ilişkin teknik alt yapıya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1A69480F" w:rsidR="003D5B92" w:rsidRDefault="00394A25" w:rsidP="00394A25">
                  <w:pPr>
                    <w:jc w:val="both"/>
                  </w:pPr>
                  <w:r w:rsidRPr="00394A25">
                    <w:t xml:space="preserve">Öğrenci geleneksel repertuvara ait </w:t>
                  </w:r>
                  <w:r w:rsidR="007D2335">
                    <w:t xml:space="preserve">cami musikisi formlarından </w:t>
                  </w:r>
                  <w:r w:rsidRPr="00394A25">
                    <w:t>üst düzeydeki eserlerin icrasına yönelik gerekli donanım ve beceriye sahip olur.</w:t>
                  </w: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Geleneksel Türk Müziği'nde kullanılan sözlü ve sözsüz müzik formları ile form bilgisinin diğer nazari bilgiler ile birlikte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Geleneksel Türk Musikisi'ni icra boyutunun yanı sıra tarihsel gelişim, sosyolojik, kültürel ve felsefi boyutları ile birlikte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Pr="00394A25" w:rsidRDefault="000E63CC" w:rsidP="000E63CC">
                  <w:pPr>
                    <w:jc w:val="both"/>
                    <w:rPr>
                      <w:rFonts w:asciiTheme="majorHAnsi" w:hAnsiTheme="majorHAnsi"/>
                    </w:rPr>
                  </w:pPr>
                  <w:r w:rsidRPr="00394A25">
                    <w:rPr>
                      <w:rFonts w:asciiTheme="majorHAnsi" w:hAnsiTheme="majorHAnsi"/>
                      <w:sz w:val="20"/>
                      <w:szCs w:val="20"/>
                    </w:rPr>
                    <w:t>1. Hafta</w:t>
                  </w:r>
                </w:p>
              </w:tc>
              <w:tc>
                <w:tcPr>
                  <w:tcW w:w="8015" w:type="dxa"/>
                </w:tcPr>
                <w:p w14:paraId="64A626F6" w14:textId="1D47476E" w:rsidR="000E63CC" w:rsidRPr="00394A25" w:rsidRDefault="007D2335" w:rsidP="00394A25">
                  <w:pPr>
                    <w:pStyle w:val="p1"/>
                    <w:tabs>
                      <w:tab w:val="center" w:pos="3899"/>
                    </w:tabs>
                    <w:rPr>
                      <w:rFonts w:asciiTheme="minorHAnsi" w:hAnsiTheme="minorHAnsi" w:cstheme="minorHAnsi"/>
                      <w:sz w:val="22"/>
                      <w:szCs w:val="22"/>
                    </w:rPr>
                  </w:pPr>
                  <w:r>
                    <w:rPr>
                      <w:rFonts w:asciiTheme="minorHAnsi" w:hAnsiTheme="minorHAnsi" w:cstheme="minorHAnsi"/>
                      <w:sz w:val="22"/>
                      <w:szCs w:val="22"/>
                    </w:rPr>
                    <w:t>Kur’an-ı Kerîm Tilâvet</w:t>
                  </w:r>
                </w:p>
              </w:tc>
            </w:tr>
            <w:tr w:rsidR="007D2335" w14:paraId="216EDEF2" w14:textId="77777777" w:rsidTr="0043309A">
              <w:trPr>
                <w:trHeight w:val="269"/>
              </w:trPr>
              <w:tc>
                <w:tcPr>
                  <w:tcW w:w="1054" w:type="dxa"/>
                </w:tcPr>
                <w:p w14:paraId="6C50C010" w14:textId="131245C5" w:rsidR="007D2335" w:rsidRDefault="007D2335" w:rsidP="007D2335">
                  <w:pPr>
                    <w:jc w:val="both"/>
                  </w:pPr>
                  <w:r w:rsidRPr="00AF29FC">
                    <w:rPr>
                      <w:sz w:val="20"/>
                      <w:szCs w:val="20"/>
                    </w:rPr>
                    <w:t>2. Hafta</w:t>
                  </w:r>
                </w:p>
              </w:tc>
              <w:tc>
                <w:tcPr>
                  <w:tcW w:w="8015" w:type="dxa"/>
                </w:tcPr>
                <w:p w14:paraId="70E522A4" w14:textId="0BFF7216" w:rsidR="007D2335" w:rsidRDefault="007D2335" w:rsidP="007D2335">
                  <w:pPr>
                    <w:jc w:val="both"/>
                  </w:pPr>
                  <w:r>
                    <w:rPr>
                      <w:rFonts w:cstheme="minorHAnsi"/>
                    </w:rPr>
                    <w:t>Kur’an-ı Kerîm Tilâvet</w:t>
                  </w:r>
                </w:p>
              </w:tc>
            </w:tr>
            <w:tr w:rsidR="000F140F" w14:paraId="6434823F" w14:textId="77777777" w:rsidTr="0043309A">
              <w:trPr>
                <w:trHeight w:val="280"/>
              </w:trPr>
              <w:tc>
                <w:tcPr>
                  <w:tcW w:w="1054" w:type="dxa"/>
                </w:tcPr>
                <w:p w14:paraId="356BBD03" w14:textId="3F0B447F" w:rsidR="000F140F" w:rsidRDefault="000F140F" w:rsidP="000F140F">
                  <w:pPr>
                    <w:jc w:val="both"/>
                  </w:pPr>
                  <w:r>
                    <w:rPr>
                      <w:sz w:val="20"/>
                      <w:szCs w:val="20"/>
                    </w:rPr>
                    <w:t>3. Hafta</w:t>
                  </w:r>
                </w:p>
              </w:tc>
              <w:tc>
                <w:tcPr>
                  <w:tcW w:w="8015" w:type="dxa"/>
                </w:tcPr>
                <w:p w14:paraId="013EE06E" w14:textId="2C804201" w:rsidR="000F140F" w:rsidRDefault="007D2335" w:rsidP="000F140F">
                  <w:pPr>
                    <w:jc w:val="both"/>
                  </w:pPr>
                  <w:r>
                    <w:rPr>
                      <w:rFonts w:cstheme="minorHAnsi"/>
                    </w:rPr>
                    <w:t>Ezan-Kâmet</w:t>
                  </w:r>
                </w:p>
              </w:tc>
            </w:tr>
            <w:tr w:rsidR="007D2335" w14:paraId="11D43151" w14:textId="77777777" w:rsidTr="0043309A">
              <w:trPr>
                <w:trHeight w:val="269"/>
              </w:trPr>
              <w:tc>
                <w:tcPr>
                  <w:tcW w:w="1054" w:type="dxa"/>
                </w:tcPr>
                <w:p w14:paraId="4D75A41F" w14:textId="2E4FA33D" w:rsidR="007D2335" w:rsidRDefault="007D2335" w:rsidP="007D2335">
                  <w:pPr>
                    <w:jc w:val="both"/>
                  </w:pPr>
                  <w:r>
                    <w:rPr>
                      <w:sz w:val="20"/>
                      <w:szCs w:val="20"/>
                    </w:rPr>
                    <w:t>4. Hafta</w:t>
                  </w:r>
                </w:p>
              </w:tc>
              <w:tc>
                <w:tcPr>
                  <w:tcW w:w="8015" w:type="dxa"/>
                </w:tcPr>
                <w:p w14:paraId="35261A85" w14:textId="1CBB120D" w:rsidR="007D2335" w:rsidRDefault="007D2335" w:rsidP="007D2335">
                  <w:pPr>
                    <w:jc w:val="both"/>
                  </w:pPr>
                  <w:r>
                    <w:rPr>
                      <w:rFonts w:cstheme="minorHAnsi"/>
                    </w:rPr>
                    <w:t>Ezan-Kâmet</w:t>
                  </w:r>
                </w:p>
              </w:tc>
            </w:tr>
            <w:tr w:rsidR="000F140F" w14:paraId="468CA674" w14:textId="77777777" w:rsidTr="0043309A">
              <w:trPr>
                <w:trHeight w:val="280"/>
              </w:trPr>
              <w:tc>
                <w:tcPr>
                  <w:tcW w:w="1054" w:type="dxa"/>
                </w:tcPr>
                <w:p w14:paraId="1474B177" w14:textId="4036329A" w:rsidR="000F140F" w:rsidRDefault="000F140F" w:rsidP="000F140F">
                  <w:pPr>
                    <w:jc w:val="both"/>
                  </w:pPr>
                  <w:r>
                    <w:rPr>
                      <w:sz w:val="20"/>
                      <w:szCs w:val="20"/>
                    </w:rPr>
                    <w:t>5. Hafta</w:t>
                  </w:r>
                </w:p>
              </w:tc>
              <w:tc>
                <w:tcPr>
                  <w:tcW w:w="8015" w:type="dxa"/>
                </w:tcPr>
                <w:p w14:paraId="5BC8EF2E" w14:textId="361EB1DC" w:rsidR="000F140F" w:rsidRDefault="007D2335" w:rsidP="000F140F">
                  <w:pPr>
                    <w:jc w:val="both"/>
                  </w:pPr>
                  <w:r>
                    <w:rPr>
                      <w:rFonts w:cstheme="minorHAnsi"/>
                    </w:rPr>
                    <w:t>Salâ</w:t>
                  </w:r>
                </w:p>
              </w:tc>
            </w:tr>
            <w:tr w:rsidR="000F140F" w14:paraId="3404A3ED" w14:textId="77777777" w:rsidTr="0043309A">
              <w:trPr>
                <w:trHeight w:val="280"/>
              </w:trPr>
              <w:tc>
                <w:tcPr>
                  <w:tcW w:w="1054" w:type="dxa"/>
                </w:tcPr>
                <w:p w14:paraId="1CDA9BD1" w14:textId="7A4016CF" w:rsidR="000F140F" w:rsidRDefault="000F140F" w:rsidP="000F140F">
                  <w:pPr>
                    <w:jc w:val="both"/>
                  </w:pPr>
                  <w:r>
                    <w:rPr>
                      <w:sz w:val="20"/>
                      <w:szCs w:val="20"/>
                    </w:rPr>
                    <w:t>6. Hafta</w:t>
                  </w:r>
                </w:p>
              </w:tc>
              <w:tc>
                <w:tcPr>
                  <w:tcW w:w="8015" w:type="dxa"/>
                </w:tcPr>
                <w:p w14:paraId="09985514" w14:textId="7AF71BD6" w:rsidR="000F140F" w:rsidRDefault="007D2335" w:rsidP="000F140F">
                  <w:pPr>
                    <w:jc w:val="both"/>
                  </w:pPr>
                  <w:r>
                    <w:rPr>
                      <w:rFonts w:cstheme="minorHAnsi"/>
                    </w:rPr>
                    <w:t>Salâ</w:t>
                  </w:r>
                </w:p>
              </w:tc>
            </w:tr>
            <w:tr w:rsidR="000F140F" w14:paraId="63AE3A1B" w14:textId="77777777" w:rsidTr="0043309A">
              <w:trPr>
                <w:trHeight w:val="269"/>
              </w:trPr>
              <w:tc>
                <w:tcPr>
                  <w:tcW w:w="1054" w:type="dxa"/>
                </w:tcPr>
                <w:p w14:paraId="311195C3" w14:textId="07B7ED60" w:rsidR="000F140F" w:rsidRDefault="000F140F" w:rsidP="000F140F">
                  <w:pPr>
                    <w:jc w:val="both"/>
                  </w:pPr>
                  <w:r>
                    <w:rPr>
                      <w:sz w:val="20"/>
                      <w:szCs w:val="20"/>
                    </w:rPr>
                    <w:t>7. Hafta</w:t>
                  </w:r>
                </w:p>
              </w:tc>
              <w:tc>
                <w:tcPr>
                  <w:tcW w:w="8015" w:type="dxa"/>
                </w:tcPr>
                <w:p w14:paraId="0AAB2B71" w14:textId="4935F545" w:rsidR="000F140F" w:rsidRDefault="007D2335" w:rsidP="000F140F">
                  <w:pPr>
                    <w:tabs>
                      <w:tab w:val="left" w:pos="1419"/>
                    </w:tabs>
                    <w:jc w:val="both"/>
                  </w:pPr>
                  <w:r>
                    <w:rPr>
                      <w:rFonts w:cstheme="minorHAnsi"/>
                    </w:rPr>
                    <w:t>Genel Tekrar</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Pr="000F140F" w:rsidRDefault="00AE2FFC" w:rsidP="00AE2FFC">
                  <w:pPr>
                    <w:jc w:val="both"/>
                  </w:pPr>
                  <w:r w:rsidRPr="000F140F">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49AB6696" w:rsidR="006A602A" w:rsidRDefault="007D2335" w:rsidP="006A602A">
                  <w:pPr>
                    <w:tabs>
                      <w:tab w:val="left" w:pos="987"/>
                    </w:tabs>
                    <w:jc w:val="both"/>
                  </w:pPr>
                  <w:r>
                    <w:t>Tevşih-Mevlid</w:t>
                  </w:r>
                </w:p>
              </w:tc>
            </w:tr>
            <w:tr w:rsidR="000F140F" w14:paraId="78297F87" w14:textId="77777777" w:rsidTr="0043309A">
              <w:trPr>
                <w:trHeight w:val="280"/>
              </w:trPr>
              <w:tc>
                <w:tcPr>
                  <w:tcW w:w="1054" w:type="dxa"/>
                </w:tcPr>
                <w:p w14:paraId="28E45718" w14:textId="6458FD55" w:rsidR="000F140F" w:rsidRDefault="000F140F" w:rsidP="000F140F">
                  <w:pPr>
                    <w:jc w:val="both"/>
                  </w:pPr>
                  <w:r>
                    <w:rPr>
                      <w:sz w:val="20"/>
                      <w:szCs w:val="20"/>
                    </w:rPr>
                    <w:t>10. Hafta</w:t>
                  </w:r>
                </w:p>
              </w:tc>
              <w:tc>
                <w:tcPr>
                  <w:tcW w:w="8015" w:type="dxa"/>
                </w:tcPr>
                <w:p w14:paraId="5AEE0458" w14:textId="208F4C09" w:rsidR="000F140F" w:rsidRDefault="007D2335" w:rsidP="000F140F">
                  <w:pPr>
                    <w:jc w:val="both"/>
                  </w:pPr>
                  <w:r>
                    <w:t>Tevşih-Mevlid</w:t>
                  </w:r>
                </w:p>
              </w:tc>
            </w:tr>
            <w:tr w:rsidR="000F140F" w14:paraId="4AC17D41" w14:textId="77777777" w:rsidTr="0043309A">
              <w:trPr>
                <w:trHeight w:val="280"/>
              </w:trPr>
              <w:tc>
                <w:tcPr>
                  <w:tcW w:w="1054" w:type="dxa"/>
                </w:tcPr>
                <w:p w14:paraId="6B0E5CE5" w14:textId="44FB8DE1" w:rsidR="000F140F" w:rsidRDefault="000F140F" w:rsidP="000F140F">
                  <w:pPr>
                    <w:jc w:val="both"/>
                  </w:pPr>
                  <w:r>
                    <w:rPr>
                      <w:sz w:val="20"/>
                      <w:szCs w:val="20"/>
                    </w:rPr>
                    <w:t>11. Hafta</w:t>
                  </w:r>
                </w:p>
              </w:tc>
              <w:tc>
                <w:tcPr>
                  <w:tcW w:w="8015" w:type="dxa"/>
                </w:tcPr>
                <w:p w14:paraId="210EAAF7" w14:textId="3867CBA0" w:rsidR="000F140F" w:rsidRDefault="007D2335" w:rsidP="000F140F">
                  <w:pPr>
                    <w:jc w:val="both"/>
                  </w:pPr>
                  <w:r>
                    <w:t>Mersiye</w:t>
                  </w:r>
                </w:p>
              </w:tc>
            </w:tr>
            <w:tr w:rsidR="000F140F" w14:paraId="076DECAA" w14:textId="77777777" w:rsidTr="0043309A">
              <w:trPr>
                <w:trHeight w:val="269"/>
              </w:trPr>
              <w:tc>
                <w:tcPr>
                  <w:tcW w:w="1054" w:type="dxa"/>
                </w:tcPr>
                <w:p w14:paraId="7BEEF0F0" w14:textId="017ECF14" w:rsidR="000F140F" w:rsidRDefault="000F140F" w:rsidP="000F140F">
                  <w:pPr>
                    <w:jc w:val="both"/>
                  </w:pPr>
                  <w:r>
                    <w:rPr>
                      <w:sz w:val="20"/>
                      <w:szCs w:val="20"/>
                    </w:rPr>
                    <w:t>12. Hafta</w:t>
                  </w:r>
                </w:p>
              </w:tc>
              <w:tc>
                <w:tcPr>
                  <w:tcW w:w="8015" w:type="dxa"/>
                </w:tcPr>
                <w:p w14:paraId="189E2E96" w14:textId="062573D9" w:rsidR="000F140F" w:rsidRDefault="007D2335" w:rsidP="000F140F">
                  <w:pPr>
                    <w:jc w:val="both"/>
                  </w:pPr>
                  <w:r>
                    <w:t>Regaibiyye</w:t>
                  </w:r>
                </w:p>
              </w:tc>
            </w:tr>
            <w:tr w:rsidR="000F140F" w14:paraId="5968C6F7" w14:textId="77777777" w:rsidTr="0043309A">
              <w:trPr>
                <w:trHeight w:val="280"/>
              </w:trPr>
              <w:tc>
                <w:tcPr>
                  <w:tcW w:w="1054" w:type="dxa"/>
                </w:tcPr>
                <w:p w14:paraId="1F1CE3C4" w14:textId="78DAD9AD" w:rsidR="000F140F" w:rsidRDefault="000F140F" w:rsidP="000F140F">
                  <w:pPr>
                    <w:jc w:val="both"/>
                  </w:pPr>
                  <w:r>
                    <w:rPr>
                      <w:sz w:val="20"/>
                      <w:szCs w:val="20"/>
                    </w:rPr>
                    <w:t>13. Hafta</w:t>
                  </w:r>
                </w:p>
              </w:tc>
              <w:tc>
                <w:tcPr>
                  <w:tcW w:w="8015" w:type="dxa"/>
                </w:tcPr>
                <w:p w14:paraId="325A9DE9" w14:textId="38142DAE" w:rsidR="000F140F" w:rsidRDefault="007D2335" w:rsidP="000F140F">
                  <w:pPr>
                    <w:jc w:val="both"/>
                  </w:pPr>
                  <w:r>
                    <w:t>Tesbih</w:t>
                  </w:r>
                </w:p>
              </w:tc>
            </w:tr>
            <w:tr w:rsidR="000F140F" w14:paraId="0406DD63" w14:textId="77777777" w:rsidTr="0043309A">
              <w:trPr>
                <w:trHeight w:val="269"/>
              </w:trPr>
              <w:tc>
                <w:tcPr>
                  <w:tcW w:w="1054" w:type="dxa"/>
                </w:tcPr>
                <w:p w14:paraId="23A5CAF9" w14:textId="7EDDB084" w:rsidR="000F140F" w:rsidRDefault="000F140F" w:rsidP="000F140F">
                  <w:pPr>
                    <w:jc w:val="both"/>
                  </w:pPr>
                  <w:r>
                    <w:rPr>
                      <w:sz w:val="20"/>
                      <w:szCs w:val="20"/>
                    </w:rPr>
                    <w:t>14. Hafta</w:t>
                  </w:r>
                </w:p>
              </w:tc>
              <w:tc>
                <w:tcPr>
                  <w:tcW w:w="8015" w:type="dxa"/>
                </w:tcPr>
                <w:p w14:paraId="2A6872BF" w14:textId="1C1F37AC" w:rsidR="000F140F" w:rsidRDefault="007D2335" w:rsidP="000F140F">
                  <w:pPr>
                    <w:jc w:val="both"/>
                  </w:pPr>
                  <w:r>
                    <w:t>Genel Tekrar</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7A640681"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6A5A7D5E"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6048D0B2" w14:textId="4D38684B"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2C887EC1"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0477F83" w14:textId="0805EDE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0B737268"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3C956288" w14:textId="6685470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F8AD69"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237210E5" w14:textId="2203D980"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6D2186BC" w:rsidR="007F634E" w:rsidRPr="00226CD7" w:rsidRDefault="000F140F" w:rsidP="007F634E">
                  <w:pPr>
                    <w:rPr>
                      <w:rFonts w:ascii="Calibri" w:hAnsi="Calibri" w:cs="Calibri"/>
                      <w:sz w:val="20"/>
                      <w:szCs w:val="20"/>
                    </w:rPr>
                  </w:pPr>
                  <w:r>
                    <w:rPr>
                      <w:rFonts w:ascii="Calibri" w:hAnsi="Calibri" w:cs="Calibri"/>
                      <w:sz w:val="20"/>
                      <w:szCs w:val="20"/>
                    </w:rPr>
                    <w:t>0</w:t>
                  </w:r>
                </w:p>
              </w:tc>
              <w:tc>
                <w:tcPr>
                  <w:tcW w:w="3020" w:type="dxa"/>
                </w:tcPr>
                <w:p w14:paraId="51D69B6B" w14:textId="08BBCF2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F140F">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3A3AC239" w:rsidR="007F634E" w:rsidRPr="00226CD7" w:rsidRDefault="000F140F"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2807DCB9" w:rsidR="007F634E" w:rsidRPr="00226CD7" w:rsidRDefault="000F140F"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B4AE0"/>
    <w:multiLevelType w:val="multilevel"/>
    <w:tmpl w:val="65B67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7133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0F140F"/>
    <w:rsid w:val="001B4555"/>
    <w:rsid w:val="00206D7B"/>
    <w:rsid w:val="00284643"/>
    <w:rsid w:val="00296B46"/>
    <w:rsid w:val="002C43F4"/>
    <w:rsid w:val="00307168"/>
    <w:rsid w:val="003404B8"/>
    <w:rsid w:val="003642A1"/>
    <w:rsid w:val="00394A25"/>
    <w:rsid w:val="003D5B92"/>
    <w:rsid w:val="00416BD3"/>
    <w:rsid w:val="00423F35"/>
    <w:rsid w:val="0043309A"/>
    <w:rsid w:val="00440654"/>
    <w:rsid w:val="0048206C"/>
    <w:rsid w:val="004C48BD"/>
    <w:rsid w:val="005060AA"/>
    <w:rsid w:val="00574951"/>
    <w:rsid w:val="005833E5"/>
    <w:rsid w:val="00592AC7"/>
    <w:rsid w:val="00597347"/>
    <w:rsid w:val="00630C60"/>
    <w:rsid w:val="006339D8"/>
    <w:rsid w:val="00661E39"/>
    <w:rsid w:val="00677D29"/>
    <w:rsid w:val="006A602A"/>
    <w:rsid w:val="006F7080"/>
    <w:rsid w:val="00723880"/>
    <w:rsid w:val="00732FAF"/>
    <w:rsid w:val="00736CCA"/>
    <w:rsid w:val="00742A50"/>
    <w:rsid w:val="00793015"/>
    <w:rsid w:val="007C3723"/>
    <w:rsid w:val="007D2335"/>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C180B"/>
    <w:rsid w:val="00C57A35"/>
    <w:rsid w:val="00C63DB9"/>
    <w:rsid w:val="00CC3B7A"/>
    <w:rsid w:val="00CC7DF4"/>
    <w:rsid w:val="00D26E72"/>
    <w:rsid w:val="00D32D8D"/>
    <w:rsid w:val="00D8552F"/>
    <w:rsid w:val="00D92073"/>
    <w:rsid w:val="00DA4339"/>
    <w:rsid w:val="00DB0918"/>
    <w:rsid w:val="00DD6DCD"/>
    <w:rsid w:val="00DF0DA0"/>
    <w:rsid w:val="00EA0355"/>
    <w:rsid w:val="00EA2E4A"/>
    <w:rsid w:val="00EB0594"/>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753</Words>
  <Characters>4293</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3</cp:revision>
  <dcterms:created xsi:type="dcterms:W3CDTF">2025-11-07T19:33:00Z</dcterms:created>
  <dcterms:modified xsi:type="dcterms:W3CDTF">2025-11-09T17:57:00Z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