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2DEFDA0D"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100845">
              <w:rPr>
                <w:b/>
                <w:spacing w:val="-7"/>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2DC445AF" w:rsidR="00E325D4" w:rsidRPr="002E6734" w:rsidRDefault="00100845" w:rsidP="00464A63">
            <w:pPr>
              <w:pStyle w:val="TableParagraph"/>
              <w:ind w:left="62" w:right="47"/>
              <w:jc w:val="center"/>
              <w:rPr>
                <w:sz w:val="20"/>
                <w:lang w:val="en-US"/>
              </w:rPr>
            </w:pPr>
            <w:r>
              <w:rPr>
                <w:sz w:val="20"/>
                <w:lang w:val="en-US"/>
              </w:rPr>
              <w:t xml:space="preserve">INRE </w:t>
            </w:r>
            <w:r w:rsidR="00544234">
              <w:rPr>
                <w:sz w:val="20"/>
                <w:lang w:val="en-US"/>
              </w:rPr>
              <w:t>212</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721EEFED" w:rsidR="00E325D4" w:rsidRPr="002E6734" w:rsidRDefault="00544234" w:rsidP="00464A63">
            <w:pPr>
              <w:pStyle w:val="TableParagraph"/>
              <w:ind w:left="14"/>
              <w:jc w:val="center"/>
              <w:rPr>
                <w:sz w:val="20"/>
                <w:lang w:val="en-US"/>
              </w:rPr>
            </w:pPr>
            <w:r>
              <w:rPr>
                <w:sz w:val="20"/>
                <w:lang w:val="en-US"/>
              </w:rPr>
              <w:t>Contemporary Turkish Politics</w:t>
            </w:r>
          </w:p>
        </w:tc>
        <w:tc>
          <w:tcPr>
            <w:tcW w:w="1276" w:type="dxa"/>
            <w:vAlign w:val="center"/>
          </w:tcPr>
          <w:p w14:paraId="31DF0520" w14:textId="77777777" w:rsidR="00175C61" w:rsidRDefault="00175C61" w:rsidP="00175C61">
            <w:pPr>
              <w:pStyle w:val="TableParagraph"/>
              <w:jc w:val="center"/>
              <w:rPr>
                <w:spacing w:val="-2"/>
                <w:sz w:val="20"/>
                <w:lang w:val="en-US"/>
              </w:rPr>
            </w:pPr>
          </w:p>
          <w:p w14:paraId="65F90E57" w14:textId="1EA8194B" w:rsidR="00175C61" w:rsidRPr="002E6734" w:rsidRDefault="00175C61" w:rsidP="00175C61">
            <w:pPr>
              <w:pStyle w:val="TableParagraph"/>
              <w:jc w:val="center"/>
              <w:rPr>
                <w:sz w:val="20"/>
                <w:lang w:val="en-US"/>
              </w:rPr>
            </w:pPr>
            <w:r w:rsidRPr="002E6734">
              <w:rPr>
                <w:spacing w:val="-2"/>
                <w:sz w:val="20"/>
                <w:lang w:val="en-US"/>
              </w:rPr>
              <w:t>Compulsory</w:t>
            </w:r>
          </w:p>
          <w:p w14:paraId="2EDFD95E" w14:textId="5DB21D72" w:rsidR="00E325D4" w:rsidRPr="002E6734" w:rsidRDefault="00E325D4" w:rsidP="00464A63">
            <w:pPr>
              <w:pStyle w:val="TableParagraph"/>
              <w:ind w:left="4"/>
              <w:jc w:val="center"/>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6D4FC1DC" w:rsidR="00E325D4" w:rsidRPr="002E6734" w:rsidRDefault="00544234" w:rsidP="00464A63">
            <w:pPr>
              <w:pStyle w:val="TableParagraph"/>
              <w:ind w:left="10"/>
              <w:jc w:val="center"/>
              <w:rPr>
                <w:sz w:val="20"/>
                <w:lang w:val="en-US"/>
              </w:rPr>
            </w:pPr>
            <w:r>
              <w:rPr>
                <w:sz w:val="20"/>
                <w:lang w:val="en-US"/>
              </w:rPr>
              <w:t>5</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6C2BCB7E" w:rsidR="00E325D4" w:rsidRPr="002E6734" w:rsidRDefault="00100845" w:rsidP="00464A63">
            <w:pPr>
              <w:pStyle w:val="TableParagraph"/>
              <w:ind w:left="14"/>
              <w:jc w:val="center"/>
              <w:rPr>
                <w:sz w:val="20"/>
                <w:lang w:val="en-US"/>
              </w:rPr>
            </w:pPr>
            <w:r>
              <w:rPr>
                <w:sz w:val="20"/>
                <w:lang w:val="en-US"/>
              </w:rPr>
              <w:t>-</w:t>
            </w:r>
          </w:p>
        </w:tc>
        <w:tc>
          <w:tcPr>
            <w:tcW w:w="1852" w:type="dxa"/>
            <w:vAlign w:val="center"/>
          </w:tcPr>
          <w:p w14:paraId="6E69D48B" w14:textId="461E448B" w:rsidR="00E325D4" w:rsidRPr="002E6734" w:rsidRDefault="00100845" w:rsidP="00464A63">
            <w:pPr>
              <w:pStyle w:val="TableParagraph"/>
              <w:jc w:val="center"/>
              <w:rPr>
                <w:sz w:val="20"/>
                <w:lang w:val="en-US"/>
              </w:rPr>
            </w:pPr>
            <w:r>
              <w:rPr>
                <w:sz w:val="20"/>
                <w:lang w:val="en-US"/>
              </w:rPr>
              <w:t>03.02.2026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441D0DFC" w:rsidR="000441DB" w:rsidRPr="002E6734" w:rsidRDefault="00100845" w:rsidP="001746AA">
            <w:pPr>
              <w:pStyle w:val="TableParagraph"/>
              <w:jc w:val="both"/>
              <w:rPr>
                <w:sz w:val="20"/>
                <w:lang w:val="en-US"/>
              </w:rPr>
            </w:pPr>
            <w:r>
              <w:rPr>
                <w:sz w:val="20"/>
                <w:lang w:val="en-US"/>
              </w:rPr>
              <w:t xml:space="preserve"> Dr. Süleyman Buğrahan Bayram &amp; sbbayram@aybu.edu.tr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095340C" w:rsidR="00EF389B" w:rsidRPr="002E6734" w:rsidRDefault="00EF389B" w:rsidP="00EF389B">
            <w:pPr>
              <w:pStyle w:val="TableParagraph"/>
              <w:jc w:val="both"/>
              <w:rPr>
                <w:sz w:val="20"/>
                <w:lang w:val="en-US"/>
              </w:rPr>
            </w:pPr>
            <w:r w:rsidRPr="002E6734">
              <w:rPr>
                <w:sz w:val="20"/>
                <w:lang w:val="en-US"/>
              </w:rPr>
              <w:t xml:space="preserve">   </w:t>
            </w:r>
            <w:r w:rsidR="00100845">
              <w:rPr>
                <w:sz w:val="20"/>
                <w:lang w:val="en-US"/>
              </w:rPr>
              <w:t>Tuesday, 10.00-12.00 / Wednesday, 10.00-12.00, B368</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1A2BF84A" w14:textId="77777777" w:rsidR="00F3459A" w:rsidRDefault="00175C61" w:rsidP="00EF389B">
            <w:pPr>
              <w:pStyle w:val="TableParagraph"/>
              <w:spacing w:before="54"/>
              <w:ind w:left="110"/>
              <w:jc w:val="both"/>
              <w:rPr>
                <w:sz w:val="20"/>
                <w:lang w:val="en-US"/>
              </w:rPr>
            </w:pPr>
            <w:r w:rsidRPr="00175C61">
              <w:rPr>
                <w:sz w:val="20"/>
                <w:lang w:val="en-US"/>
              </w:rPr>
              <w:t xml:space="preserve">This course introduces the evolution of Turkish politics with its myriad institutions, actors, historical </w:t>
            </w:r>
          </w:p>
          <w:p w14:paraId="09A88370" w14:textId="77777777" w:rsidR="00F3459A" w:rsidRDefault="00175C61" w:rsidP="00EF389B">
            <w:pPr>
              <w:pStyle w:val="TableParagraph"/>
              <w:spacing w:before="54"/>
              <w:ind w:left="110"/>
              <w:jc w:val="both"/>
              <w:rPr>
                <w:sz w:val="20"/>
                <w:lang w:val="en-US"/>
              </w:rPr>
            </w:pPr>
            <w:r w:rsidRPr="00175C61">
              <w:rPr>
                <w:sz w:val="20"/>
                <w:lang w:val="en-US"/>
              </w:rPr>
              <w:t>and structural dynamics and persistent problems. The first section of the course is organized to provide</w:t>
            </w:r>
          </w:p>
          <w:p w14:paraId="0EB5D543" w14:textId="77777777" w:rsidR="00F3459A" w:rsidRDefault="00175C61" w:rsidP="00EF389B">
            <w:pPr>
              <w:pStyle w:val="TableParagraph"/>
              <w:spacing w:before="54"/>
              <w:ind w:left="110"/>
              <w:jc w:val="both"/>
              <w:rPr>
                <w:sz w:val="20"/>
                <w:lang w:val="en-US"/>
              </w:rPr>
            </w:pPr>
            <w:r w:rsidRPr="00175C61">
              <w:rPr>
                <w:sz w:val="20"/>
                <w:lang w:val="en-US"/>
              </w:rPr>
              <w:t xml:space="preserve"> the historical trajectory of Turkish political development until 2002. The overview of the political </w:t>
            </w:r>
          </w:p>
          <w:p w14:paraId="0AB57041" w14:textId="77777777" w:rsidR="00F3459A" w:rsidRDefault="00175C61" w:rsidP="00EF389B">
            <w:pPr>
              <w:pStyle w:val="TableParagraph"/>
              <w:spacing w:before="54"/>
              <w:ind w:left="110"/>
              <w:jc w:val="both"/>
              <w:rPr>
                <w:sz w:val="20"/>
                <w:lang w:val="en-US"/>
              </w:rPr>
            </w:pPr>
            <w:r w:rsidRPr="00175C61">
              <w:rPr>
                <w:sz w:val="20"/>
                <w:lang w:val="en-US"/>
              </w:rPr>
              <w:t>process after 2002 is integrated into the second section, which consists of focused discussions on</w:t>
            </w:r>
          </w:p>
          <w:p w14:paraId="413F8BE2" w14:textId="6DA01EB0" w:rsidR="00EF389B" w:rsidRPr="002E6734" w:rsidRDefault="00175C61" w:rsidP="00EF389B">
            <w:pPr>
              <w:pStyle w:val="TableParagraph"/>
              <w:spacing w:before="54"/>
              <w:ind w:left="110"/>
              <w:jc w:val="both"/>
              <w:rPr>
                <w:sz w:val="20"/>
                <w:lang w:val="en-US"/>
              </w:rPr>
            </w:pPr>
            <w:r w:rsidRPr="00175C61">
              <w:rPr>
                <w:sz w:val="20"/>
                <w:lang w:val="en-US"/>
              </w:rPr>
              <w:t xml:space="preserve">several issues that are still relevant today. </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541A9A00" w14:textId="77777777" w:rsidR="00175C61" w:rsidRDefault="00175C61" w:rsidP="00175C61">
            <w:pPr>
              <w:pStyle w:val="Default"/>
            </w:pPr>
          </w:p>
          <w:p w14:paraId="1B92E28B" w14:textId="03D2CD90" w:rsidR="00175C61" w:rsidRDefault="00175C61" w:rsidP="00175C61">
            <w:pPr>
              <w:pStyle w:val="TableParagraph"/>
              <w:spacing w:before="54"/>
              <w:ind w:left="110"/>
              <w:jc w:val="both"/>
              <w:rPr>
                <w:sz w:val="20"/>
                <w:lang w:val="en-US"/>
              </w:rPr>
            </w:pPr>
            <w:r w:rsidRPr="00175C61">
              <w:rPr>
                <w:sz w:val="20"/>
                <w:lang w:val="en-US"/>
              </w:rPr>
              <w:t xml:space="preserve">Zürcher, Eric J. (2017). Turkey: A Modern History. 4th edition. I.B. Tauris. </w:t>
            </w:r>
          </w:p>
          <w:p w14:paraId="66582D93" w14:textId="77777777" w:rsidR="00175C61" w:rsidRDefault="00175C61" w:rsidP="00175C61">
            <w:pPr>
              <w:pStyle w:val="Default"/>
            </w:pPr>
          </w:p>
          <w:p w14:paraId="5FD9501E" w14:textId="77777777" w:rsidR="00175C61" w:rsidRPr="00175C61" w:rsidRDefault="00175C61" w:rsidP="00175C61">
            <w:pPr>
              <w:pStyle w:val="TableParagraph"/>
              <w:spacing w:before="54"/>
              <w:ind w:left="110"/>
              <w:jc w:val="both"/>
              <w:rPr>
                <w:sz w:val="20"/>
                <w:lang w:val="en-US"/>
              </w:rPr>
            </w:pPr>
            <w:proofErr w:type="spellStart"/>
            <w:r w:rsidRPr="00175C61">
              <w:rPr>
                <w:sz w:val="20"/>
                <w:lang w:val="en-US"/>
              </w:rPr>
              <w:t>Kalaycıoğlu</w:t>
            </w:r>
            <w:proofErr w:type="spellEnd"/>
            <w:r w:rsidRPr="00175C61">
              <w:rPr>
                <w:sz w:val="20"/>
                <w:lang w:val="en-US"/>
              </w:rPr>
              <w:t xml:space="preserve">, Ersin. (2005). Turkish Dynamics: Bridge across Troubled Lands. Palgrave Macmillan. </w:t>
            </w:r>
          </w:p>
          <w:p w14:paraId="5F5AB6B6" w14:textId="77777777" w:rsidR="00175C61" w:rsidRPr="00175C61" w:rsidRDefault="00175C61" w:rsidP="00175C61">
            <w:pPr>
              <w:pStyle w:val="TableParagraph"/>
              <w:spacing w:before="54"/>
              <w:ind w:left="110"/>
              <w:jc w:val="both"/>
              <w:rPr>
                <w:sz w:val="20"/>
                <w:lang w:val="en-US"/>
              </w:rPr>
            </w:pPr>
          </w:p>
          <w:p w14:paraId="1FFC8E77" w14:textId="2EC9C2A5" w:rsidR="00175C61" w:rsidRPr="00175C61" w:rsidRDefault="00175C61" w:rsidP="00175C61">
            <w:pPr>
              <w:pStyle w:val="TableParagraph"/>
              <w:spacing w:before="54"/>
              <w:ind w:left="110"/>
              <w:jc w:val="both"/>
              <w:rPr>
                <w:sz w:val="20"/>
                <w:lang w:val="en-US"/>
              </w:rPr>
            </w:pPr>
            <w:r w:rsidRPr="00175C61">
              <w:rPr>
                <w:sz w:val="20"/>
                <w:lang w:val="en-US"/>
              </w:rPr>
              <w:t xml:space="preserve">Ahmad, F. (1993). The making of modern Turkey. Routledge </w:t>
            </w:r>
          </w:p>
          <w:p w14:paraId="6093A56F" w14:textId="3F950CD8" w:rsidR="00100845" w:rsidRPr="00100845" w:rsidRDefault="00100845" w:rsidP="00100845">
            <w:pPr>
              <w:pStyle w:val="TableParagraph"/>
              <w:spacing w:before="54"/>
              <w:ind w:left="110"/>
              <w:jc w:val="both"/>
              <w:rPr>
                <w:sz w:val="20"/>
                <w:lang w:val="en-US"/>
              </w:rPr>
            </w:pP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4EA01353" w:rsidR="00EF389B" w:rsidRPr="002E6734" w:rsidRDefault="00175C61" w:rsidP="008675A2">
            <w:pPr>
              <w:pStyle w:val="TableParagraph"/>
              <w:tabs>
                <w:tab w:val="left" w:pos="1452"/>
              </w:tabs>
              <w:spacing w:before="159"/>
              <w:ind w:left="110"/>
              <w:jc w:val="both"/>
              <w:rPr>
                <w:sz w:val="20"/>
                <w:lang w:val="en-US"/>
              </w:rPr>
            </w:pPr>
            <w:r w:rsidRPr="00175C61">
              <w:rPr>
                <w:sz w:val="20"/>
                <w:lang w:val="en-US"/>
              </w:rPr>
              <w:t>This course is based on lectures, student presentations debates on selected topics,  in-class activities, homework and traditional final exam.</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eGrid"/>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3DC8FC05" w:rsidR="00895CD6" w:rsidRPr="00895CD6" w:rsidRDefault="00895CD6" w:rsidP="00895CD6">
                  <w:pPr>
                    <w:rPr>
                      <w:sz w:val="21"/>
                      <w:szCs w:val="21"/>
                      <w:lang w:val="en-US"/>
                    </w:rPr>
                  </w:pPr>
                  <w:r>
                    <w:rPr>
                      <w:sz w:val="21"/>
                      <w:szCs w:val="21"/>
                      <w:lang w:val="en-US"/>
                    </w:rPr>
                    <w:t>1</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3680"/>
                  </w:tblGrid>
                  <w:tr w:rsidR="008675A2" w:rsidRPr="008675A2" w14:paraId="7CD7FCA2" w14:textId="77777777" w:rsidTr="008675A2">
                    <w:trPr>
                      <w:trHeight w:val="345"/>
                    </w:trPr>
                    <w:tc>
                      <w:tcPr>
                        <w:tcW w:w="1368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6120BD2E" w14:textId="5AD1E4C8" w:rsidR="00895CD6" w:rsidRDefault="00895CD6" w:rsidP="008675A2">
                        <w:pPr>
                          <w:jc w:val="both"/>
                          <w:rPr>
                            <w:rFonts w:ascii="Carlito" w:hAnsi="Carlito"/>
                            <w:lang w:val="en-US"/>
                          </w:rPr>
                        </w:pPr>
                        <w:r w:rsidRPr="00895CD6">
                          <w:rPr>
                            <w:rFonts w:ascii="Carlito" w:hAnsi="Carlito"/>
                            <w:lang w:val="en-US"/>
                          </w:rPr>
                          <w:t xml:space="preserve">Students who successfully complete this course will be able to demonstrate </w:t>
                        </w:r>
                      </w:p>
                      <w:p w14:paraId="3BA9D187" w14:textId="54306F0A" w:rsidR="008675A2" w:rsidRPr="008675A2" w:rsidRDefault="00895CD6" w:rsidP="008675A2">
                        <w:pPr>
                          <w:jc w:val="both"/>
                          <w:rPr>
                            <w:rFonts w:ascii="Carlito" w:eastAsia="Times New Roman" w:hAnsi="Carlito" w:cs="Tahoma"/>
                            <w:color w:val="3B3A36"/>
                            <w:sz w:val="16"/>
                            <w:szCs w:val="16"/>
                            <w:lang w:val="en-US"/>
                          </w:rPr>
                        </w:pPr>
                        <w:r w:rsidRPr="00895CD6">
                          <w:rPr>
                            <w:rFonts w:ascii="Carlito" w:hAnsi="Carlito"/>
                            <w:lang w:val="en-US"/>
                          </w:rPr>
                          <w:t>good grasp of several issues in contemporary Turkish politics.</w:t>
                        </w:r>
                      </w:p>
                    </w:tc>
                  </w:tr>
                </w:tbl>
                <w:p w14:paraId="7C01A625" w14:textId="77777777" w:rsidR="00731977" w:rsidRPr="00553393" w:rsidRDefault="00731977" w:rsidP="00731977">
                  <w:pPr>
                    <w:jc w:val="both"/>
                    <w:rPr>
                      <w:rFonts w:ascii="Carlito" w:hAnsi="Carlito"/>
                      <w:lang w:val="en-US"/>
                    </w:rPr>
                  </w:pPr>
                </w:p>
              </w:tc>
            </w:tr>
            <w:tr w:rsidR="00731977" w:rsidRPr="002E6734" w14:paraId="3A5601D0" w14:textId="77777777" w:rsidTr="008675A2">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shd w:val="clear" w:color="auto" w:fill="FFFFFF" w:themeFill="background1"/>
                </w:tcPr>
                <w:p w14:paraId="724ACAE1" w14:textId="20E64638" w:rsidR="00731977" w:rsidRPr="00553393" w:rsidRDefault="00895CD6" w:rsidP="00731977">
                  <w:pPr>
                    <w:jc w:val="both"/>
                    <w:rPr>
                      <w:rFonts w:ascii="Carlito" w:hAnsi="Carlito"/>
                      <w:lang w:val="en-US"/>
                    </w:rPr>
                  </w:pPr>
                  <w:r w:rsidRPr="00895CD6">
                    <w:rPr>
                      <w:rFonts w:ascii="Carlito" w:hAnsi="Carlito"/>
                      <w:lang w:val="en-US"/>
                    </w:rPr>
                    <w:t>After successful completion of the course, students will be able to apply their knowledge of voter behavior in Turkey to make sense of Turkish elections at local and national levels in the future.</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3680"/>
                  </w:tblGrid>
                  <w:tr w:rsidR="008675A2" w:rsidRPr="00895CD6" w14:paraId="12063CBE" w14:textId="77777777" w:rsidTr="008675A2">
                    <w:trPr>
                      <w:trHeight w:val="345"/>
                    </w:trPr>
                    <w:tc>
                      <w:tcPr>
                        <w:tcW w:w="1368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7B584694" w14:textId="77777777" w:rsidR="00F3459A" w:rsidRDefault="00895CD6" w:rsidP="008675A2">
                        <w:pPr>
                          <w:jc w:val="both"/>
                          <w:rPr>
                            <w:rFonts w:ascii="Carlito" w:hAnsi="Carlito"/>
                            <w:lang w:val="en-US"/>
                          </w:rPr>
                        </w:pPr>
                        <w:r w:rsidRPr="00895CD6">
                          <w:rPr>
                            <w:rFonts w:ascii="Carlito" w:hAnsi="Carlito"/>
                            <w:lang w:val="en-US"/>
                          </w:rPr>
                          <w:t xml:space="preserve">Once they successfully finish this course, students will be able to identify how </w:t>
                        </w:r>
                      </w:p>
                      <w:p w14:paraId="6C317B99" w14:textId="77777777" w:rsidR="00F3459A" w:rsidRDefault="00895CD6" w:rsidP="008675A2">
                        <w:pPr>
                          <w:jc w:val="both"/>
                          <w:rPr>
                            <w:rFonts w:ascii="Carlito" w:hAnsi="Carlito"/>
                            <w:lang w:val="en-US"/>
                          </w:rPr>
                        </w:pPr>
                        <w:r w:rsidRPr="00895CD6">
                          <w:rPr>
                            <w:rFonts w:ascii="Carlito" w:hAnsi="Carlito"/>
                            <w:lang w:val="en-US"/>
                          </w:rPr>
                          <w:t xml:space="preserve">elections work in Turkey, how ballots are counters, details of election system </w:t>
                        </w:r>
                      </w:p>
                      <w:p w14:paraId="24EC22F8" w14:textId="0498924E" w:rsidR="008675A2" w:rsidRPr="00895CD6" w:rsidRDefault="00895CD6" w:rsidP="008675A2">
                        <w:pPr>
                          <w:jc w:val="both"/>
                          <w:rPr>
                            <w:rFonts w:ascii="Carlito" w:hAnsi="Carlito"/>
                            <w:lang w:val="en-US"/>
                          </w:rPr>
                        </w:pPr>
                        <w:r w:rsidRPr="00895CD6">
                          <w:rPr>
                            <w:rFonts w:ascii="Carlito" w:hAnsi="Carlito"/>
                            <w:lang w:val="en-US"/>
                          </w:rPr>
                          <w:t>and party system.</w:t>
                        </w:r>
                      </w:p>
                    </w:tc>
                  </w:tr>
                </w:tbl>
                <w:p w14:paraId="0FD6872D" w14:textId="77777777" w:rsidR="00731977" w:rsidRPr="00553393" w:rsidRDefault="00731977" w:rsidP="00731977">
                  <w:pPr>
                    <w:jc w:val="both"/>
                    <w:rPr>
                      <w:rFonts w:ascii="Carlito" w:hAnsi="Carlito"/>
                      <w:lang w:val="en-US"/>
                    </w:rPr>
                  </w:pP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2030"/>
                    <w:gridCol w:w="1650"/>
                  </w:tblGrid>
                  <w:tr w:rsidR="008675A2" w:rsidRPr="00895CD6" w14:paraId="03875EB7" w14:textId="77777777" w:rsidTr="008675A2">
                    <w:trPr>
                      <w:trHeight w:val="345"/>
                    </w:trPr>
                    <w:tc>
                      <w:tcPr>
                        <w:tcW w:w="1203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07827139" w14:textId="77777777" w:rsidR="00F3459A" w:rsidRDefault="00895CD6" w:rsidP="008675A2">
                        <w:pPr>
                          <w:jc w:val="both"/>
                          <w:rPr>
                            <w:rFonts w:ascii="Carlito" w:hAnsi="Carlito"/>
                            <w:lang w:val="en-US"/>
                          </w:rPr>
                        </w:pPr>
                        <w:r w:rsidRPr="00895CD6">
                          <w:rPr>
                            <w:rFonts w:ascii="Carlito" w:hAnsi="Carlito"/>
                            <w:lang w:val="en-US"/>
                          </w:rPr>
                          <w:t xml:space="preserve">As one of the most important learning outcomes of this course, students will </w:t>
                        </w:r>
                      </w:p>
                      <w:p w14:paraId="1A054531" w14:textId="77777777" w:rsidR="00F3459A" w:rsidRDefault="00895CD6" w:rsidP="008675A2">
                        <w:pPr>
                          <w:jc w:val="both"/>
                          <w:rPr>
                            <w:rFonts w:ascii="Carlito" w:hAnsi="Carlito"/>
                            <w:lang w:val="en-US"/>
                          </w:rPr>
                        </w:pPr>
                        <w:r w:rsidRPr="00895CD6">
                          <w:rPr>
                            <w:rFonts w:ascii="Carlito" w:hAnsi="Carlito"/>
                            <w:lang w:val="en-US"/>
                          </w:rPr>
                          <w:t xml:space="preserve">become more informed citizens by analyzing how the Turkish democracy and </w:t>
                        </w:r>
                      </w:p>
                      <w:p w14:paraId="6EECBC70" w14:textId="323E45B7" w:rsidR="008675A2" w:rsidRPr="00895CD6" w:rsidRDefault="00895CD6" w:rsidP="008675A2">
                        <w:pPr>
                          <w:jc w:val="both"/>
                          <w:rPr>
                            <w:rFonts w:ascii="Carlito" w:hAnsi="Carlito"/>
                            <w:lang w:val="en-US"/>
                          </w:rPr>
                        </w:pPr>
                        <w:r w:rsidRPr="00895CD6">
                          <w:rPr>
                            <w:rFonts w:ascii="Carlito" w:hAnsi="Carlito"/>
                            <w:lang w:val="en-US"/>
                          </w:rPr>
                          <w:t>political system work and what are challenges to it and some of its weaknesses.</w:t>
                        </w:r>
                      </w:p>
                    </w:tc>
                    <w:tc>
                      <w:tcPr>
                        <w:tcW w:w="1650" w:type="dxa"/>
                        <w:tcBorders>
                          <w:top w:val="single" w:sz="2" w:space="0" w:color="auto"/>
                          <w:left w:val="single" w:sz="2" w:space="0" w:color="auto"/>
                          <w:bottom w:val="single" w:sz="2" w:space="0" w:color="auto"/>
                          <w:right w:val="single" w:sz="2" w:space="0" w:color="auto"/>
                        </w:tcBorders>
                        <w:shd w:val="clear" w:color="auto" w:fill="CCE0FC"/>
                        <w:tcMar>
                          <w:top w:w="45" w:type="dxa"/>
                          <w:left w:w="45" w:type="dxa"/>
                          <w:bottom w:w="45" w:type="dxa"/>
                          <w:right w:w="45" w:type="dxa"/>
                        </w:tcMar>
                        <w:vAlign w:val="center"/>
                        <w:hideMark/>
                      </w:tcPr>
                      <w:p w14:paraId="0B061604" w14:textId="77777777" w:rsidR="008675A2" w:rsidRPr="00895CD6" w:rsidRDefault="008675A2" w:rsidP="008675A2">
                        <w:pPr>
                          <w:widowControl/>
                          <w:autoSpaceDE/>
                          <w:autoSpaceDN/>
                          <w:rPr>
                            <w:rFonts w:ascii="Carlito" w:hAnsi="Carlito"/>
                            <w:lang w:val="en-US"/>
                          </w:rPr>
                        </w:pPr>
                      </w:p>
                    </w:tc>
                  </w:tr>
                </w:tbl>
                <w:p w14:paraId="62EDA49C" w14:textId="77777777" w:rsidR="00731977" w:rsidRPr="00553393" w:rsidRDefault="00731977" w:rsidP="00731977">
                  <w:pPr>
                    <w:jc w:val="both"/>
                    <w:rPr>
                      <w:rFonts w:ascii="Carlito" w:hAnsi="Carlito"/>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eGrid"/>
              <w:tblW w:w="0" w:type="auto"/>
              <w:tblLayout w:type="fixed"/>
              <w:tblLook w:val="04A0" w:firstRow="1" w:lastRow="0" w:firstColumn="1" w:lastColumn="0" w:noHBand="0" w:noVBand="1"/>
            </w:tblPr>
            <w:tblGrid>
              <w:gridCol w:w="1024"/>
              <w:gridCol w:w="7784"/>
            </w:tblGrid>
            <w:tr w:rsidR="00731977" w:rsidRPr="002E6734" w14:paraId="30202A05" w14:textId="77777777" w:rsidTr="00A25E79">
              <w:trPr>
                <w:trHeight w:val="268"/>
              </w:trPr>
              <w:tc>
                <w:tcPr>
                  <w:tcW w:w="1024" w:type="dxa"/>
                </w:tcPr>
                <w:p w14:paraId="7F16B3BD" w14:textId="762720EE" w:rsidR="00731977" w:rsidRPr="00373E4A" w:rsidRDefault="00373E4A" w:rsidP="00731977">
                  <w:pPr>
                    <w:jc w:val="both"/>
                    <w:rPr>
                      <w:b/>
                      <w:bCs/>
                      <w:lang w:val="en-US"/>
                    </w:rPr>
                  </w:pPr>
                  <w:r w:rsidRPr="00373E4A">
                    <w:rPr>
                      <w:b/>
                      <w:bCs/>
                      <w:lang w:val="en-US"/>
                    </w:rPr>
                    <w:t>PO 4.</w:t>
                  </w:r>
                </w:p>
              </w:tc>
              <w:tc>
                <w:tcPr>
                  <w:tcW w:w="7784" w:type="dxa"/>
                </w:tcPr>
                <w:p w14:paraId="24FA446F" w14:textId="66174651"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identify</w:t>
                  </w:r>
                  <w:proofErr w:type="spellEnd"/>
                  <w:r w:rsidRPr="00553393">
                    <w:rPr>
                      <w:rStyle w:val="aupe"/>
                      <w:rFonts w:ascii="Carlito" w:hAnsi="Carlito"/>
                    </w:rPr>
                    <w:t xml:space="preserve">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fundamental</w:t>
                  </w:r>
                  <w:proofErr w:type="spellEnd"/>
                  <w:r w:rsidRPr="00553393">
                    <w:rPr>
                      <w:rStyle w:val="aupe"/>
                      <w:rFonts w:ascii="Carlito" w:hAnsi="Carlito"/>
                    </w:rPr>
                    <w:t xml:space="preserve"> </w:t>
                  </w:r>
                  <w:proofErr w:type="spellStart"/>
                  <w:r w:rsidRPr="00553393">
                    <w:rPr>
                      <w:rStyle w:val="aupe"/>
                      <w:rFonts w:ascii="Carlito" w:hAnsi="Carlito"/>
                    </w:rPr>
                    <w:t>problems</w:t>
                  </w:r>
                  <w:proofErr w:type="spellEnd"/>
                  <w:r w:rsidRPr="00553393">
                    <w:rPr>
                      <w:rStyle w:val="aupe"/>
                      <w:rFonts w:ascii="Carlito" w:hAnsi="Carlito"/>
                    </w:rPr>
                    <w:t xml:space="preserve"> in </w:t>
                  </w:r>
                  <w:proofErr w:type="spellStart"/>
                  <w:r w:rsidRPr="00553393">
                    <w:rPr>
                      <w:rStyle w:val="aupe"/>
                      <w:rFonts w:ascii="Carlito" w:hAnsi="Carlito"/>
                    </w:rPr>
                    <w:t>classical</w:t>
                  </w:r>
                  <w:proofErr w:type="spellEnd"/>
                  <w:r w:rsidRPr="00553393">
                    <w:rPr>
                      <w:rStyle w:val="aupe"/>
                      <w:rFonts w:ascii="Carlito" w:hAnsi="Carlito"/>
                    </w:rPr>
                    <w:t xml:space="preserve"> and </w:t>
                  </w:r>
                  <w:proofErr w:type="spellStart"/>
                  <w:r w:rsidRPr="00553393">
                    <w:rPr>
                      <w:rStyle w:val="aupe"/>
                      <w:rFonts w:ascii="Carlito" w:hAnsi="Carlito"/>
                    </w:rPr>
                    <w:t>contemporary</w:t>
                  </w:r>
                  <w:proofErr w:type="spellEnd"/>
                  <w:r w:rsidRPr="00553393">
                    <w:rPr>
                      <w:rStyle w:val="aupe"/>
                      <w:rFonts w:ascii="Carlito" w:hAnsi="Carlito"/>
                    </w:rPr>
                    <w:t xml:space="preserve"> </w:t>
                  </w:r>
                  <w:proofErr w:type="spellStart"/>
                  <w:r w:rsidRPr="00553393">
                    <w:rPr>
                      <w:rStyle w:val="aupe"/>
                      <w:rFonts w:ascii="Carlito" w:hAnsi="Carlito"/>
                    </w:rPr>
                    <w:t>international</w:t>
                  </w:r>
                  <w:proofErr w:type="spellEnd"/>
                  <w:r w:rsidRPr="00553393">
                    <w:rPr>
                      <w:rStyle w:val="aupe"/>
                      <w:rFonts w:ascii="Carlito" w:hAnsi="Carlito"/>
                    </w:rPr>
                    <w:t xml:space="preserve"> </w:t>
                  </w:r>
                  <w:proofErr w:type="spellStart"/>
                  <w:r w:rsidRPr="00553393">
                    <w:rPr>
                      <w:rStyle w:val="aupe"/>
                      <w:rFonts w:ascii="Carlito" w:hAnsi="Carlito"/>
                    </w:rPr>
                    <w:t>phenomena</w:t>
                  </w:r>
                  <w:proofErr w:type="spellEnd"/>
                  <w:r w:rsidRPr="00553393">
                    <w:rPr>
                      <w:rStyle w:val="aupe"/>
                      <w:rFonts w:ascii="Carlito" w:hAnsi="Carlito"/>
                    </w:rPr>
                    <w:t xml:space="preserve"> and </w:t>
                  </w:r>
                  <w:proofErr w:type="spellStart"/>
                  <w:r w:rsidRPr="00553393">
                    <w:rPr>
                      <w:rStyle w:val="aupe"/>
                      <w:rFonts w:ascii="Carlito" w:hAnsi="Carlito"/>
                    </w:rPr>
                    <w:t>provide</w:t>
                  </w:r>
                  <w:proofErr w:type="spellEnd"/>
                  <w:r w:rsidRPr="00553393">
                    <w:rPr>
                      <w:rStyle w:val="aupe"/>
                      <w:rFonts w:ascii="Carlito" w:hAnsi="Carlito"/>
                    </w:rPr>
                    <w:t xml:space="preserve"> </w:t>
                  </w:r>
                  <w:proofErr w:type="spellStart"/>
                  <w:r w:rsidRPr="00553393">
                    <w:rPr>
                      <w:rStyle w:val="aupe"/>
                      <w:rFonts w:ascii="Carlito" w:hAnsi="Carlito"/>
                    </w:rPr>
                    <w:t>critical</w:t>
                  </w:r>
                  <w:proofErr w:type="spellEnd"/>
                  <w:r w:rsidRPr="00553393">
                    <w:rPr>
                      <w:rStyle w:val="aupe"/>
                      <w:rFonts w:ascii="Carlito" w:hAnsi="Carlito"/>
                    </w:rPr>
                    <w:t xml:space="preserve"> </w:t>
                  </w:r>
                  <w:proofErr w:type="spellStart"/>
                  <w:r w:rsidRPr="00553393">
                    <w:rPr>
                      <w:rStyle w:val="aupe"/>
                      <w:rFonts w:ascii="Carlito" w:hAnsi="Carlito"/>
                    </w:rPr>
                    <w:t>interpretation</w:t>
                  </w:r>
                  <w:proofErr w:type="spellEnd"/>
                  <w:r w:rsidRPr="00553393">
                    <w:rPr>
                      <w:rStyle w:val="aupe"/>
                      <w:rFonts w:ascii="Carlito" w:hAnsi="Carlito"/>
                    </w:rPr>
                    <w:t xml:space="preserve"> </w:t>
                  </w:r>
                  <w:proofErr w:type="spellStart"/>
                  <w:r w:rsidRPr="00553393">
                    <w:rPr>
                      <w:rStyle w:val="aupe"/>
                      <w:rFonts w:ascii="Carlito" w:hAnsi="Carlito"/>
                    </w:rPr>
                    <w:t>using</w:t>
                  </w:r>
                  <w:proofErr w:type="spellEnd"/>
                  <w:r w:rsidRPr="00553393">
                    <w:rPr>
                      <w:rStyle w:val="aupe"/>
                      <w:rFonts w:ascii="Carlito" w:hAnsi="Carlito"/>
                    </w:rPr>
                    <w:t xml:space="preserve">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theoretical</w:t>
                  </w:r>
                  <w:proofErr w:type="spellEnd"/>
                  <w:r w:rsidRPr="00553393">
                    <w:rPr>
                      <w:rStyle w:val="aupe"/>
                      <w:rFonts w:ascii="Carlito" w:hAnsi="Carlito"/>
                    </w:rPr>
                    <w:t xml:space="preserve"> </w:t>
                  </w:r>
                  <w:proofErr w:type="spellStart"/>
                  <w:r w:rsidRPr="00553393">
                    <w:rPr>
                      <w:rStyle w:val="aupe"/>
                      <w:rFonts w:ascii="Carlito" w:hAnsi="Carlito"/>
                    </w:rPr>
                    <w:t>bases</w:t>
                  </w:r>
                  <w:proofErr w:type="spellEnd"/>
                  <w:r w:rsidRPr="00553393">
                    <w:rPr>
                      <w:rStyle w:val="aupe"/>
                      <w:rFonts w:ascii="Carlito" w:hAnsi="Carlito"/>
                    </w:rPr>
                    <w:t xml:space="preserve"> of International </w:t>
                  </w:r>
                  <w:proofErr w:type="spellStart"/>
                  <w:r w:rsidRPr="00553393">
                    <w:rPr>
                      <w:rStyle w:val="aupe"/>
                      <w:rFonts w:ascii="Carlito" w:hAnsi="Carlito"/>
                    </w:rPr>
                    <w:t>Relations</w:t>
                  </w:r>
                  <w:proofErr w:type="spellEnd"/>
                </w:p>
              </w:tc>
            </w:tr>
            <w:tr w:rsidR="00731977" w:rsidRPr="002E6734" w14:paraId="089B4BCC" w14:textId="77777777" w:rsidTr="00A25E79">
              <w:trPr>
                <w:trHeight w:val="280"/>
              </w:trPr>
              <w:tc>
                <w:tcPr>
                  <w:tcW w:w="1024" w:type="dxa"/>
                </w:tcPr>
                <w:p w14:paraId="5CF8D788" w14:textId="0B8F86B8" w:rsidR="00731977" w:rsidRPr="00373E4A" w:rsidRDefault="00373E4A" w:rsidP="00731977">
                  <w:pPr>
                    <w:jc w:val="both"/>
                    <w:rPr>
                      <w:b/>
                      <w:bCs/>
                      <w:lang w:val="en-US"/>
                    </w:rPr>
                  </w:pPr>
                  <w:r w:rsidRPr="00373E4A">
                    <w:rPr>
                      <w:b/>
                      <w:bCs/>
                      <w:lang w:val="en-US"/>
                    </w:rPr>
                    <w:t>PO 5.</w:t>
                  </w:r>
                </w:p>
              </w:tc>
              <w:tc>
                <w:tcPr>
                  <w:tcW w:w="7784" w:type="dxa"/>
                </w:tcPr>
                <w:p w14:paraId="517174D1" w14:textId="221F8489"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have</w:t>
                  </w:r>
                  <w:proofErr w:type="spellEnd"/>
                  <w:r w:rsidRPr="00553393">
                    <w:rPr>
                      <w:rStyle w:val="aupe"/>
                      <w:rFonts w:ascii="Carlito" w:hAnsi="Carlito"/>
                    </w:rPr>
                    <w:t xml:space="preserve"> </w:t>
                  </w:r>
                  <w:proofErr w:type="spellStart"/>
                  <w:r w:rsidRPr="00553393">
                    <w:rPr>
                      <w:rStyle w:val="aupe"/>
                      <w:rFonts w:ascii="Carlito" w:hAnsi="Carlito"/>
                    </w:rPr>
                    <w:t>advanced</w:t>
                  </w:r>
                  <w:proofErr w:type="spellEnd"/>
                  <w:r w:rsidRPr="00553393">
                    <w:rPr>
                      <w:rStyle w:val="aupe"/>
                      <w:rFonts w:ascii="Carlito" w:hAnsi="Carlito"/>
                    </w:rPr>
                    <w:t xml:space="preserve"> </w:t>
                  </w:r>
                  <w:proofErr w:type="spellStart"/>
                  <w:r w:rsidRPr="00553393">
                    <w:rPr>
                      <w:rStyle w:val="aupe"/>
                      <w:rFonts w:ascii="Carlito" w:hAnsi="Carlito"/>
                    </w:rPr>
                    <w:t>knowledge</w:t>
                  </w:r>
                  <w:proofErr w:type="spellEnd"/>
                  <w:r w:rsidRPr="00553393">
                    <w:rPr>
                      <w:rStyle w:val="aupe"/>
                      <w:rFonts w:ascii="Carlito" w:hAnsi="Carlito"/>
                    </w:rPr>
                    <w:t xml:space="preserve"> on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regional</w:t>
                  </w:r>
                  <w:proofErr w:type="spellEnd"/>
                  <w:r w:rsidRPr="00553393">
                    <w:rPr>
                      <w:rStyle w:val="aupe"/>
                      <w:rFonts w:ascii="Carlito" w:hAnsi="Carlito"/>
                    </w:rPr>
                    <w:t xml:space="preserve"> </w:t>
                  </w:r>
                  <w:proofErr w:type="spellStart"/>
                  <w:r w:rsidRPr="00553393">
                    <w:rPr>
                      <w:rStyle w:val="aupe"/>
                      <w:rFonts w:ascii="Carlito" w:hAnsi="Carlito"/>
                    </w:rPr>
                    <w:t>issues</w:t>
                  </w:r>
                  <w:proofErr w:type="spellEnd"/>
                  <w:r w:rsidRPr="00553393">
                    <w:rPr>
                      <w:rStyle w:val="aupe"/>
                      <w:rFonts w:ascii="Carlito" w:hAnsi="Carlito"/>
                    </w:rPr>
                    <w:t xml:space="preserve"> and </w:t>
                  </w:r>
                  <w:proofErr w:type="spellStart"/>
                  <w:r w:rsidRPr="00553393">
                    <w:rPr>
                      <w:rStyle w:val="aupe"/>
                      <w:rFonts w:ascii="Carlito" w:hAnsi="Carlito"/>
                    </w:rPr>
                    <w:t>problems</w:t>
                  </w:r>
                  <w:proofErr w:type="spellEnd"/>
                  <w:r w:rsidRPr="00553393">
                    <w:rPr>
                      <w:rStyle w:val="aupe"/>
                      <w:rFonts w:ascii="Carlito" w:hAnsi="Carlito"/>
                    </w:rPr>
                    <w:t xml:space="preserve"> </w:t>
                  </w:r>
                  <w:proofErr w:type="spellStart"/>
                  <w:r w:rsidRPr="00553393">
                    <w:rPr>
                      <w:rStyle w:val="aupe"/>
                      <w:rFonts w:ascii="Carlito" w:hAnsi="Carlito"/>
                    </w:rPr>
                    <w:t>through</w:t>
                  </w:r>
                  <w:proofErr w:type="spellEnd"/>
                  <w:r w:rsidRPr="00553393">
                    <w:rPr>
                      <w:rStyle w:val="aupe"/>
                      <w:rFonts w:ascii="Carlito" w:hAnsi="Carlito"/>
                    </w:rPr>
                    <w:t xml:space="preserve"> </w:t>
                  </w:r>
                  <w:proofErr w:type="spellStart"/>
                  <w:r w:rsidRPr="00553393">
                    <w:rPr>
                      <w:rStyle w:val="aupe"/>
                      <w:rFonts w:ascii="Carlito" w:hAnsi="Carlito"/>
                    </w:rPr>
                    <w:t>area</w:t>
                  </w:r>
                  <w:proofErr w:type="spellEnd"/>
                  <w:r w:rsidRPr="00553393">
                    <w:rPr>
                      <w:rStyle w:val="aupe"/>
                      <w:rFonts w:ascii="Carlito" w:hAnsi="Carlito"/>
                    </w:rPr>
                    <w:t xml:space="preserve"> </w:t>
                  </w:r>
                  <w:proofErr w:type="spellStart"/>
                  <w:r w:rsidRPr="00553393">
                    <w:rPr>
                      <w:rStyle w:val="aupe"/>
                      <w:rFonts w:ascii="Carlito" w:hAnsi="Carlito"/>
                    </w:rPr>
                    <w:t>studies</w:t>
                  </w:r>
                  <w:proofErr w:type="spellEnd"/>
                </w:p>
              </w:tc>
            </w:tr>
            <w:tr w:rsidR="00731977" w:rsidRPr="002E6734" w14:paraId="17464FAF" w14:textId="77777777" w:rsidTr="00A25E79">
              <w:trPr>
                <w:trHeight w:val="280"/>
              </w:trPr>
              <w:tc>
                <w:tcPr>
                  <w:tcW w:w="1024" w:type="dxa"/>
                </w:tcPr>
                <w:p w14:paraId="48B78ABB" w14:textId="33D80976" w:rsidR="00731977" w:rsidRPr="00373E4A" w:rsidRDefault="00373E4A" w:rsidP="00731977">
                  <w:pPr>
                    <w:jc w:val="both"/>
                    <w:rPr>
                      <w:b/>
                      <w:bCs/>
                      <w:lang w:val="en-US"/>
                    </w:rPr>
                  </w:pPr>
                  <w:r w:rsidRPr="00373E4A">
                    <w:rPr>
                      <w:b/>
                      <w:bCs/>
                      <w:lang w:val="en-US"/>
                    </w:rPr>
                    <w:t>PO 6.</w:t>
                  </w:r>
                </w:p>
              </w:tc>
              <w:tc>
                <w:tcPr>
                  <w:tcW w:w="7784" w:type="dxa"/>
                </w:tcPr>
                <w:p w14:paraId="4451F58F" w14:textId="53068449" w:rsidR="00731977" w:rsidRPr="00553393" w:rsidRDefault="00553393"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keep</w:t>
                  </w:r>
                  <w:proofErr w:type="spellEnd"/>
                  <w:r w:rsidRPr="00553393">
                    <w:rPr>
                      <w:rStyle w:val="aupe"/>
                      <w:rFonts w:ascii="Carlito" w:hAnsi="Carlito"/>
                    </w:rPr>
                    <w:t xml:space="preserve"> </w:t>
                  </w:r>
                  <w:proofErr w:type="spellStart"/>
                  <w:r w:rsidRPr="00553393">
                    <w:rPr>
                      <w:rStyle w:val="aupe"/>
                      <w:rFonts w:ascii="Carlito" w:hAnsi="Carlito"/>
                    </w:rPr>
                    <w:t>abreast</w:t>
                  </w:r>
                  <w:proofErr w:type="spellEnd"/>
                  <w:r w:rsidRPr="00553393">
                    <w:rPr>
                      <w:rStyle w:val="aupe"/>
                      <w:rFonts w:ascii="Carlito" w:hAnsi="Carlito"/>
                    </w:rPr>
                    <w:t xml:space="preserve"> of </w:t>
                  </w:r>
                  <w:proofErr w:type="spellStart"/>
                  <w:r w:rsidRPr="00553393">
                    <w:rPr>
                      <w:rStyle w:val="aupe"/>
                      <w:rFonts w:ascii="Carlito" w:hAnsi="Carlito"/>
                    </w:rPr>
                    <w:t>current</w:t>
                  </w:r>
                  <w:proofErr w:type="spellEnd"/>
                  <w:r w:rsidRPr="00553393">
                    <w:rPr>
                      <w:rStyle w:val="aupe"/>
                      <w:rFonts w:ascii="Carlito" w:hAnsi="Carlito"/>
                    </w:rPr>
                    <w:t xml:space="preserve"> </w:t>
                  </w:r>
                  <w:proofErr w:type="spellStart"/>
                  <w:r w:rsidRPr="00553393">
                    <w:rPr>
                      <w:rStyle w:val="aupe"/>
                      <w:rFonts w:ascii="Carlito" w:hAnsi="Carlito"/>
                    </w:rPr>
                    <w:t>developments</w:t>
                  </w:r>
                  <w:proofErr w:type="spellEnd"/>
                  <w:r w:rsidRPr="00553393">
                    <w:rPr>
                      <w:rStyle w:val="aupe"/>
                      <w:rFonts w:ascii="Carlito" w:hAnsi="Carlito"/>
                    </w:rPr>
                    <w:t xml:space="preserve"> in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discipline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communicate</w:t>
                  </w:r>
                  <w:proofErr w:type="spellEnd"/>
                  <w:r w:rsidRPr="00553393">
                    <w:rPr>
                      <w:rStyle w:val="aupe"/>
                      <w:rFonts w:ascii="Carlito" w:hAnsi="Carlito"/>
                    </w:rPr>
                    <w:t xml:space="preserve"> </w:t>
                  </w:r>
                  <w:proofErr w:type="spellStart"/>
                  <w:r w:rsidRPr="00553393">
                    <w:rPr>
                      <w:rStyle w:val="aupe"/>
                      <w:rFonts w:ascii="Carlito" w:hAnsi="Carlito"/>
                    </w:rPr>
                    <w:t>with</w:t>
                  </w:r>
                  <w:proofErr w:type="spellEnd"/>
                  <w:r w:rsidRPr="00553393">
                    <w:rPr>
                      <w:rStyle w:val="aupe"/>
                      <w:rFonts w:ascii="Carlito" w:hAnsi="Carlito"/>
                    </w:rPr>
                    <w:t xml:space="preserve"> </w:t>
                  </w:r>
                  <w:proofErr w:type="spellStart"/>
                  <w:r w:rsidRPr="00553393">
                    <w:rPr>
                      <w:rStyle w:val="aupe"/>
                      <w:rFonts w:ascii="Carlito" w:hAnsi="Carlito"/>
                    </w:rPr>
                    <w:t>one’s</w:t>
                  </w:r>
                  <w:proofErr w:type="spellEnd"/>
                  <w:r w:rsidRPr="00553393">
                    <w:rPr>
                      <w:rStyle w:val="aupe"/>
                      <w:rFonts w:ascii="Carlito" w:hAnsi="Carlito"/>
                    </w:rPr>
                    <w:t xml:space="preserve"> </w:t>
                  </w:r>
                  <w:proofErr w:type="spellStart"/>
                  <w:r w:rsidRPr="00553393">
                    <w:rPr>
                      <w:rStyle w:val="aupe"/>
                      <w:rFonts w:ascii="Carlito" w:hAnsi="Carlito"/>
                    </w:rPr>
                    <w:t>peers</w:t>
                  </w:r>
                  <w:proofErr w:type="spellEnd"/>
                  <w:r w:rsidRPr="00553393">
                    <w:rPr>
                      <w:rStyle w:val="aupe"/>
                      <w:rFonts w:ascii="Carlito" w:hAnsi="Carlito"/>
                    </w:rPr>
                    <w:t xml:space="preserve"> (</w:t>
                  </w:r>
                  <w:proofErr w:type="spellStart"/>
                  <w:r w:rsidRPr="00553393">
                    <w:rPr>
                      <w:rStyle w:val="aupe"/>
                      <w:rFonts w:ascii="Carlito" w:hAnsi="Carlito"/>
                    </w:rPr>
                    <w:t>European</w:t>
                  </w:r>
                  <w:proofErr w:type="spellEnd"/>
                  <w:r w:rsidRPr="00553393">
                    <w:rPr>
                      <w:rStyle w:val="aupe"/>
                      <w:rFonts w:ascii="Carlito" w:hAnsi="Carlito"/>
                    </w:rPr>
                    <w:t xml:space="preserve"> </w:t>
                  </w:r>
                  <w:proofErr w:type="spellStart"/>
                  <w:r w:rsidRPr="00553393">
                    <w:rPr>
                      <w:rStyle w:val="aupe"/>
                      <w:rFonts w:ascii="Carlito" w:hAnsi="Carlito"/>
                    </w:rPr>
                    <w:t>language</w:t>
                  </w:r>
                  <w:proofErr w:type="spellEnd"/>
                  <w:r w:rsidRPr="00553393">
                    <w:rPr>
                      <w:rStyle w:val="aupe"/>
                      <w:rFonts w:ascii="Carlito" w:hAnsi="Carlito"/>
                    </w:rPr>
                    <w:t xml:space="preserve"> </w:t>
                  </w:r>
                  <w:proofErr w:type="spellStart"/>
                  <w:r w:rsidRPr="00553393">
                    <w:rPr>
                      <w:rStyle w:val="aupe"/>
                      <w:rFonts w:ascii="Carlito" w:hAnsi="Carlito"/>
                    </w:rPr>
                    <w:t>portfolio</w:t>
                  </w:r>
                  <w:proofErr w:type="spellEnd"/>
                  <w:r w:rsidRPr="00553393">
                    <w:rPr>
                      <w:rStyle w:val="aupe"/>
                      <w:rFonts w:ascii="Carlito" w:hAnsi="Carlito"/>
                    </w:rPr>
                    <w:t xml:space="preserve"> global </w:t>
                  </w:r>
                  <w:proofErr w:type="spellStart"/>
                  <w:r w:rsidRPr="00553393">
                    <w:rPr>
                      <w:rStyle w:val="aupe"/>
                      <w:rFonts w:ascii="Carlito" w:hAnsi="Carlito"/>
                    </w:rPr>
                    <w:t>scale</w:t>
                  </w:r>
                  <w:proofErr w:type="spellEnd"/>
                  <w:r w:rsidRPr="00553393">
                    <w:rPr>
                      <w:rStyle w:val="aupe"/>
                      <w:rFonts w:ascii="Carlito" w:hAnsi="Carlito"/>
                    </w:rPr>
                    <w:t xml:space="preserve">, </w:t>
                  </w:r>
                  <w:proofErr w:type="spellStart"/>
                  <w:r w:rsidRPr="00553393">
                    <w:rPr>
                      <w:rStyle w:val="aupe"/>
                      <w:rFonts w:ascii="Carlito" w:hAnsi="Carlito"/>
                    </w:rPr>
                    <w:t>level</w:t>
                  </w:r>
                  <w:proofErr w:type="spellEnd"/>
                  <w:r w:rsidRPr="00553393">
                    <w:rPr>
                      <w:rStyle w:val="aupe"/>
                      <w:rFonts w:ascii="Carlito" w:hAnsi="Carlito"/>
                    </w:rPr>
                    <w:t xml:space="preserve"> B1</w:t>
                  </w:r>
                </w:p>
              </w:tc>
            </w:tr>
            <w:tr w:rsidR="00731977" w:rsidRPr="002E6734" w14:paraId="59554A46" w14:textId="77777777" w:rsidTr="00A25E79">
              <w:trPr>
                <w:trHeight w:val="280"/>
              </w:trPr>
              <w:tc>
                <w:tcPr>
                  <w:tcW w:w="1024" w:type="dxa"/>
                </w:tcPr>
                <w:p w14:paraId="7F6BB327" w14:textId="0B4AA9FF" w:rsidR="00731977" w:rsidRPr="00373E4A" w:rsidRDefault="00373E4A" w:rsidP="00731977">
                  <w:pPr>
                    <w:jc w:val="both"/>
                    <w:rPr>
                      <w:b/>
                      <w:bCs/>
                      <w:lang w:val="en-US"/>
                    </w:rPr>
                  </w:pPr>
                  <w:r w:rsidRPr="00373E4A">
                    <w:rPr>
                      <w:b/>
                      <w:bCs/>
                      <w:lang w:val="en-US"/>
                    </w:rPr>
                    <w:t xml:space="preserve">PO </w:t>
                  </w:r>
                  <w:r w:rsidR="00895CD6">
                    <w:rPr>
                      <w:b/>
                      <w:bCs/>
                      <w:lang w:val="en-US"/>
                    </w:rPr>
                    <w:t>9</w:t>
                  </w:r>
                  <w:r w:rsidRPr="00373E4A">
                    <w:rPr>
                      <w:b/>
                      <w:bCs/>
                      <w:lang w:val="en-US"/>
                    </w:rPr>
                    <w:t>.</w:t>
                  </w:r>
                </w:p>
              </w:tc>
              <w:tc>
                <w:tcPr>
                  <w:tcW w:w="7784" w:type="dxa"/>
                </w:tcPr>
                <w:p w14:paraId="61C4E36A" w14:textId="207CD563" w:rsidR="00731977" w:rsidRPr="00553393" w:rsidRDefault="002C690B" w:rsidP="00731977">
                  <w:pPr>
                    <w:jc w:val="both"/>
                    <w:rPr>
                      <w:rFonts w:ascii="Carlito" w:hAnsi="Carlito"/>
                      <w:lang w:val="en-US"/>
                    </w:rPr>
                  </w:pPr>
                  <w:r w:rsidRPr="002C690B">
                    <w:rPr>
                      <w:rFonts w:ascii="Carlito" w:hAnsi="Carlito"/>
                      <w:lang w:val="en-US"/>
                    </w:rPr>
                    <w:t xml:space="preserve">To be able to take initiative as a team member and an individual, and develop advanced solutions to complex issues </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687B3AB5" w:rsidR="00EF389B" w:rsidRPr="002E6734" w:rsidRDefault="00373E4A" w:rsidP="00EF389B">
            <w:pPr>
              <w:pStyle w:val="TableParagraph"/>
              <w:ind w:left="110"/>
              <w:jc w:val="both"/>
              <w:rPr>
                <w:sz w:val="20"/>
                <w:lang w:val="en-US"/>
              </w:rPr>
            </w:pPr>
            <w:r>
              <w:rPr>
                <w:sz w:val="20"/>
                <w:lang w:val="en-US"/>
              </w:rPr>
              <w:t xml:space="preserve">The participants of this course will have a </w:t>
            </w:r>
            <w:r w:rsidR="00895CD6">
              <w:rPr>
                <w:sz w:val="20"/>
                <w:lang w:val="en-US"/>
              </w:rPr>
              <w:t>deeper understanding of Turkish history and domestic politics- one of the main sources of Turkish foreign policy.</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eGrid"/>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7290B2E9" w:rsidR="00AF3427" w:rsidRPr="002E6734" w:rsidRDefault="00553393" w:rsidP="00AF3427">
                  <w:pPr>
                    <w:jc w:val="both"/>
                    <w:rPr>
                      <w:lang w:val="en-US"/>
                    </w:rPr>
                  </w:pPr>
                  <w:r>
                    <w:rPr>
                      <w:lang w:val="en-US"/>
                    </w:rPr>
                    <w:t>Introduction</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240C9DA5" w:rsidR="00AF3427" w:rsidRPr="002E6734" w:rsidRDefault="00454AE1" w:rsidP="00AF3427">
                  <w:pPr>
                    <w:jc w:val="both"/>
                    <w:rPr>
                      <w:lang w:val="en-US"/>
                    </w:rPr>
                  </w:pPr>
                  <w:r>
                    <w:rPr>
                      <w:lang w:val="en-US"/>
                    </w:rPr>
                    <w:t xml:space="preserve">‘We go way back’: Before </w:t>
                  </w:r>
                  <w:proofErr w:type="spellStart"/>
                  <w:r>
                    <w:rPr>
                      <w:lang w:val="en-US"/>
                    </w:rPr>
                    <w:t>Tanzimat</w:t>
                  </w:r>
                  <w:proofErr w:type="spellEnd"/>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5FBD5BD2" w:rsidR="00AF3427" w:rsidRPr="002E6734" w:rsidRDefault="00454AE1" w:rsidP="00AF3427">
                  <w:pPr>
                    <w:jc w:val="both"/>
                    <w:rPr>
                      <w:lang w:val="en-US"/>
                    </w:rPr>
                  </w:pPr>
                  <w:proofErr w:type="spellStart"/>
                  <w:r>
                    <w:rPr>
                      <w:lang w:val="en-US"/>
                    </w:rPr>
                    <w:t>Tanzimat</w:t>
                  </w:r>
                  <w:proofErr w:type="spellEnd"/>
                  <w:r>
                    <w:rPr>
                      <w:lang w:val="en-US"/>
                    </w:rPr>
                    <w:t xml:space="preserve"> Era and Abdülhamid II</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75DCDDF4" w:rsidR="00AF3427" w:rsidRPr="002E6734" w:rsidRDefault="009A0C8C" w:rsidP="00AF3427">
                  <w:pPr>
                    <w:jc w:val="both"/>
                    <w:rPr>
                      <w:lang w:val="en-US"/>
                    </w:rPr>
                  </w:pPr>
                  <w:r>
                    <w:rPr>
                      <w:lang w:val="en-US"/>
                    </w:rPr>
                    <w:t>Revolution of 1908, the Collapse, the War of Independence, and the Republic</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1EAD6430" w:rsidR="00AF3427" w:rsidRPr="002E6734" w:rsidRDefault="009A0C8C" w:rsidP="00AF3427">
                  <w:pPr>
                    <w:jc w:val="both"/>
                    <w:rPr>
                      <w:lang w:val="en-US"/>
                    </w:rPr>
                  </w:pPr>
                  <w:r>
                    <w:rPr>
                      <w:lang w:val="en-US"/>
                    </w:rPr>
                    <w:t xml:space="preserve">Atatürk Era and </w:t>
                  </w:r>
                  <w:proofErr w:type="spellStart"/>
                  <w:r>
                    <w:rPr>
                      <w:lang w:val="en-US"/>
                    </w:rPr>
                    <w:t>İnönü’s</w:t>
                  </w:r>
                  <w:proofErr w:type="spellEnd"/>
                  <w:r>
                    <w:rPr>
                      <w:lang w:val="en-US"/>
                    </w:rPr>
                    <w:t xml:space="preserve"> Struggle during WWII</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62C7AC6A" w:rsidR="00AF3427" w:rsidRPr="002E6734" w:rsidRDefault="009A0C8C" w:rsidP="00AF3427">
                  <w:pPr>
                    <w:jc w:val="both"/>
                    <w:rPr>
                      <w:lang w:val="en-US"/>
                    </w:rPr>
                  </w:pPr>
                  <w:r>
                    <w:rPr>
                      <w:lang w:val="en-US"/>
                    </w:rPr>
                    <w:t>Transition to Multiparty Democracy and May 27 Coup (1945-1960)</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721CEE8F" w:rsidR="00AF3427" w:rsidRPr="002E6734" w:rsidRDefault="009A0C8C" w:rsidP="00AF3427">
                  <w:pPr>
                    <w:jc w:val="both"/>
                    <w:rPr>
                      <w:lang w:val="en-US"/>
                    </w:rPr>
                  </w:pPr>
                  <w:r>
                    <w:rPr>
                      <w:lang w:val="en-US"/>
                    </w:rPr>
                    <w:t>Two Tumultuous Decades (1960-1980)</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56C26EBE" w:rsidR="00AF3427" w:rsidRPr="002E6734" w:rsidRDefault="009A0C8C" w:rsidP="00AF3427">
                  <w:pPr>
                    <w:jc w:val="both"/>
                    <w:rPr>
                      <w:lang w:val="en-US"/>
                    </w:rPr>
                  </w:pPr>
                  <w:r>
                    <w:rPr>
                      <w:lang w:val="en-US"/>
                    </w:rPr>
                    <w:t>The Tumult Goes On (1980-2002)</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092A4A56" w:rsidR="00AF3427" w:rsidRPr="002E6734" w:rsidRDefault="009A0C8C" w:rsidP="00AF3427">
                  <w:pPr>
                    <w:jc w:val="both"/>
                    <w:rPr>
                      <w:lang w:val="en-US"/>
                    </w:rPr>
                  </w:pPr>
                  <w:r>
                    <w:rPr>
                      <w:lang w:val="en-US"/>
                    </w:rPr>
                    <w:t>Ottoman Legacy</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469E76C8" w:rsidR="00AF3427" w:rsidRPr="002E6734" w:rsidRDefault="009A0C8C" w:rsidP="00AF3427">
                  <w:pPr>
                    <w:jc w:val="both"/>
                    <w:rPr>
                      <w:lang w:val="en-US"/>
                    </w:rPr>
                  </w:pPr>
                  <w:proofErr w:type="spellStart"/>
                  <w:r>
                    <w:rPr>
                      <w:lang w:val="en-US"/>
                    </w:rPr>
                    <w:t>Kemalism</w:t>
                  </w:r>
                  <w:proofErr w:type="spellEnd"/>
                  <w:r>
                    <w:rPr>
                      <w:lang w:val="en-US"/>
                    </w:rPr>
                    <w:t xml:space="preserve"> and Political Islam</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03B220AF" w:rsidR="00AF3427" w:rsidRPr="002E6734" w:rsidRDefault="009A0C8C" w:rsidP="00AF3427">
                  <w:pPr>
                    <w:jc w:val="both"/>
                    <w:rPr>
                      <w:lang w:val="en-US"/>
                    </w:rPr>
                  </w:pPr>
                  <w:r>
                    <w:rPr>
                      <w:lang w:val="en-US"/>
                    </w:rPr>
                    <w:t>Army and Politics</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046F31AD" w:rsidR="00AF3427" w:rsidRPr="002E6734" w:rsidRDefault="009A0C8C" w:rsidP="00AF3427">
                  <w:pPr>
                    <w:jc w:val="both"/>
                    <w:rPr>
                      <w:lang w:val="en-US"/>
                    </w:rPr>
                  </w:pPr>
                  <w:r>
                    <w:rPr>
                      <w:lang w:val="en-US"/>
                    </w:rPr>
                    <w:t>Kurds and Turkey</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667F12FC" w:rsidR="00AF3427" w:rsidRPr="002E6734" w:rsidRDefault="009A0C8C" w:rsidP="00AF3427">
                  <w:pPr>
                    <w:jc w:val="both"/>
                    <w:rPr>
                      <w:lang w:val="en-US"/>
                    </w:rPr>
                  </w:pPr>
                  <w:r>
                    <w:rPr>
                      <w:lang w:val="en-US"/>
                    </w:rPr>
                    <w:t>Women</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0818E0AB" w:rsidR="00AF3427" w:rsidRPr="002E6734" w:rsidRDefault="009A0C8C" w:rsidP="00AF3427">
                  <w:pPr>
                    <w:jc w:val="both"/>
                    <w:rPr>
                      <w:lang w:val="en-US"/>
                    </w:rPr>
                  </w:pPr>
                  <w:r>
                    <w:rPr>
                      <w:lang w:val="en-US"/>
                    </w:rPr>
                    <w:t>National Day</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eGrid"/>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215FF6D8"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7D8ECE69"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9A0C8C">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453D6947" w:rsidR="002E6734" w:rsidRPr="002E6734" w:rsidRDefault="009A0C8C" w:rsidP="002E6734">
                  <w:pPr>
                    <w:rPr>
                      <w:rFonts w:ascii="Calibri" w:hAnsi="Calibri" w:cs="Calibri"/>
                      <w:sz w:val="20"/>
                      <w:szCs w:val="20"/>
                      <w:lang w:val="en-US"/>
                    </w:rPr>
                  </w:pPr>
                  <w:r>
                    <w:rPr>
                      <w:rFonts w:ascii="Calibri" w:hAnsi="Calibri" w:cs="Calibri"/>
                      <w:sz w:val="20"/>
                      <w:szCs w:val="20"/>
                      <w:lang w:val="en-US"/>
                    </w:rPr>
                    <w:t>3</w:t>
                  </w:r>
                </w:p>
              </w:tc>
              <w:tc>
                <w:tcPr>
                  <w:tcW w:w="3020" w:type="dxa"/>
                </w:tcPr>
                <w:p w14:paraId="0219E462" w14:textId="755DAE54"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9A0C8C">
                    <w:rPr>
                      <w:rFonts w:ascii="Calibri" w:eastAsia="Times New Roman" w:hAnsi="Calibri" w:cs="Calibri"/>
                      <w:color w:val="3B3A36"/>
                      <w:sz w:val="20"/>
                      <w:szCs w:val="20"/>
                      <w:lang w:val="en-US" w:eastAsia="tr-TR"/>
                    </w:rPr>
                    <w:t>30</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56B051C2" w:rsidR="002E6734" w:rsidRPr="002E6734" w:rsidRDefault="002E6734" w:rsidP="002E6734">
                  <w:pPr>
                    <w:rPr>
                      <w:rFonts w:ascii="Calibri" w:hAnsi="Calibri" w:cs="Calibri"/>
                      <w:sz w:val="20"/>
                      <w:szCs w:val="20"/>
                      <w:lang w:val="en-US"/>
                    </w:rPr>
                  </w:pPr>
                </w:p>
              </w:tc>
              <w:tc>
                <w:tcPr>
                  <w:tcW w:w="3020" w:type="dxa"/>
                </w:tcPr>
                <w:p w14:paraId="4618C465" w14:textId="7A680D7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D6FC0C9" w:rsidR="002E6734" w:rsidRPr="002E6734" w:rsidRDefault="002E6734" w:rsidP="002E6734">
                  <w:pPr>
                    <w:rPr>
                      <w:rFonts w:ascii="Calibri" w:hAnsi="Calibri" w:cs="Calibri"/>
                      <w:sz w:val="20"/>
                      <w:szCs w:val="20"/>
                      <w:lang w:val="en-US"/>
                    </w:rPr>
                  </w:pPr>
                </w:p>
              </w:tc>
              <w:tc>
                <w:tcPr>
                  <w:tcW w:w="3020" w:type="dxa"/>
                </w:tcPr>
                <w:p w14:paraId="6DAE8E9F" w14:textId="395130AC"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0343AF7F"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798D8EA9"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79B966E5"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9A0C8C">
                    <w:rPr>
                      <w:rFonts w:ascii="Calibri" w:hAnsi="Calibri" w:cs="Calibri"/>
                      <w:sz w:val="20"/>
                      <w:szCs w:val="20"/>
                      <w:lang w:val="en-US"/>
                    </w:rPr>
                    <w:t>40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Hyperlink"/>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Garamond">
    <w:altName w:val="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yNDMwMTOzsDAwN7dQ0lEKTi0uzszPAykwqgUANhlnoiwAAAA="/>
  </w:docVars>
  <w:rsids>
    <w:rsidRoot w:val="00630C60"/>
    <w:rsid w:val="00035252"/>
    <w:rsid w:val="0003589E"/>
    <w:rsid w:val="000441DB"/>
    <w:rsid w:val="00046374"/>
    <w:rsid w:val="00100845"/>
    <w:rsid w:val="001746AA"/>
    <w:rsid w:val="00175C61"/>
    <w:rsid w:val="001B4555"/>
    <w:rsid w:val="001E0F8B"/>
    <w:rsid w:val="002B2984"/>
    <w:rsid w:val="002C690B"/>
    <w:rsid w:val="002D613C"/>
    <w:rsid w:val="002E6734"/>
    <w:rsid w:val="00305F76"/>
    <w:rsid w:val="00311158"/>
    <w:rsid w:val="003404B8"/>
    <w:rsid w:val="00341C9A"/>
    <w:rsid w:val="003642A1"/>
    <w:rsid w:val="00373E4A"/>
    <w:rsid w:val="004134A5"/>
    <w:rsid w:val="00416BD3"/>
    <w:rsid w:val="004270F5"/>
    <w:rsid w:val="00440654"/>
    <w:rsid w:val="00454AE1"/>
    <w:rsid w:val="00464A63"/>
    <w:rsid w:val="0048206C"/>
    <w:rsid w:val="004C48BD"/>
    <w:rsid w:val="00544234"/>
    <w:rsid w:val="00553393"/>
    <w:rsid w:val="00581ACC"/>
    <w:rsid w:val="00597347"/>
    <w:rsid w:val="00630C60"/>
    <w:rsid w:val="006339D8"/>
    <w:rsid w:val="00651F0F"/>
    <w:rsid w:val="00661E39"/>
    <w:rsid w:val="00677D29"/>
    <w:rsid w:val="00685BD5"/>
    <w:rsid w:val="006B023A"/>
    <w:rsid w:val="006E3662"/>
    <w:rsid w:val="00723C8C"/>
    <w:rsid w:val="00731977"/>
    <w:rsid w:val="00732FAF"/>
    <w:rsid w:val="0073516E"/>
    <w:rsid w:val="00736CCA"/>
    <w:rsid w:val="00793015"/>
    <w:rsid w:val="007A7AC1"/>
    <w:rsid w:val="008309D1"/>
    <w:rsid w:val="0083209D"/>
    <w:rsid w:val="008675A2"/>
    <w:rsid w:val="00871F5E"/>
    <w:rsid w:val="00895CD6"/>
    <w:rsid w:val="008B7E4A"/>
    <w:rsid w:val="008F5B0A"/>
    <w:rsid w:val="009036D5"/>
    <w:rsid w:val="00930D25"/>
    <w:rsid w:val="009A0C8C"/>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06F2D"/>
    <w:rsid w:val="00D26E72"/>
    <w:rsid w:val="00DB2A49"/>
    <w:rsid w:val="00DD6DCD"/>
    <w:rsid w:val="00E325D4"/>
    <w:rsid w:val="00E812C2"/>
    <w:rsid w:val="00EB0594"/>
    <w:rsid w:val="00EE3856"/>
    <w:rsid w:val="00EF389B"/>
    <w:rsid w:val="00F259CA"/>
    <w:rsid w:val="00F3459A"/>
    <w:rsid w:val="00FA0D12"/>
    <w:rsid w:val="00FA47B9"/>
    <w:rsid w:val="00FD469B"/>
    <w:rsid w:val="00FD7170"/>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Hyperlink">
    <w:name w:val="Hyperlink"/>
    <w:basedOn w:val="DefaultParagraphFont"/>
    <w:uiPriority w:val="99"/>
    <w:unhideWhenUsed/>
    <w:rsid w:val="00930D25"/>
    <w:rPr>
      <w:color w:val="0000FF" w:themeColor="hyperlink"/>
      <w:u w:val="single"/>
    </w:rPr>
  </w:style>
  <w:style w:type="character" w:customStyle="1" w:styleId="UnresolvedMention1">
    <w:name w:val="Unresolved Mention1"/>
    <w:basedOn w:val="DefaultParagraphFont"/>
    <w:uiPriority w:val="99"/>
    <w:semiHidden/>
    <w:unhideWhenUsed/>
    <w:rsid w:val="002D613C"/>
    <w:rPr>
      <w:color w:val="605E5C"/>
      <w:shd w:val="clear" w:color="auto" w:fill="E1DFDD"/>
    </w:rPr>
  </w:style>
  <w:style w:type="table" w:styleId="TableGrid">
    <w:name w:val="Table Grid"/>
    <w:basedOn w:val="TableNormal"/>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
    <w:name w:val="_aupe"/>
    <w:basedOn w:val="DefaultParagraphFont"/>
    <w:rsid w:val="00D06F2D"/>
  </w:style>
  <w:style w:type="paragraph" w:customStyle="1" w:styleId="Default">
    <w:name w:val="Default"/>
    <w:rsid w:val="00175C61"/>
    <w:pPr>
      <w:widowControl/>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698</Words>
  <Characters>3983</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Buğrahan Bayram</cp:lastModifiedBy>
  <cp:revision>10</cp:revision>
  <dcterms:created xsi:type="dcterms:W3CDTF">2025-10-16T12:40:00Z</dcterms:created>
  <dcterms:modified xsi:type="dcterms:W3CDTF">2026-03-29T22:56:00Z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