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3D9D392D"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DEPARTMENT OF</w:t>
            </w:r>
            <w:r w:rsidR="00947A93">
              <w:rPr>
                <w:b/>
                <w:sz w:val="20"/>
                <w:szCs w:val="20"/>
                <w:lang w:val="en-US"/>
              </w:rPr>
              <w:t xml:space="preserve"> 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4903C536" w:rsidR="00E325D4" w:rsidRPr="002E6734" w:rsidRDefault="00947A93" w:rsidP="00464A63">
            <w:pPr>
              <w:pStyle w:val="TableParagraph"/>
              <w:ind w:left="62" w:right="47"/>
              <w:jc w:val="center"/>
              <w:rPr>
                <w:sz w:val="20"/>
                <w:lang w:val="en-US"/>
              </w:rPr>
            </w:pPr>
            <w:r>
              <w:rPr>
                <w:sz w:val="20"/>
                <w:lang w:val="en-US"/>
              </w:rPr>
              <w:t>INRE 302</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2E7B9254" w:rsidR="00E325D4" w:rsidRPr="002E6734" w:rsidRDefault="00947A93" w:rsidP="00464A63">
            <w:pPr>
              <w:pStyle w:val="TableParagraph"/>
              <w:ind w:left="14"/>
              <w:jc w:val="center"/>
              <w:rPr>
                <w:sz w:val="20"/>
                <w:lang w:val="en-US"/>
              </w:rPr>
            </w:pPr>
            <w:r>
              <w:rPr>
                <w:sz w:val="20"/>
                <w:lang w:val="en-US"/>
              </w:rPr>
              <w:t>Turkish Foreign Policy II</w:t>
            </w:r>
          </w:p>
        </w:tc>
        <w:tc>
          <w:tcPr>
            <w:tcW w:w="1276" w:type="dxa"/>
            <w:vAlign w:val="center"/>
          </w:tcPr>
          <w:p w14:paraId="1CB4682D" w14:textId="7FAFE824" w:rsidR="00947A93" w:rsidRPr="002E6734" w:rsidRDefault="00E325D4" w:rsidP="00947A93">
            <w:pPr>
              <w:pStyle w:val="TableParagraph"/>
              <w:jc w:val="center"/>
              <w:rPr>
                <w:sz w:val="20"/>
                <w:lang w:val="en-US"/>
              </w:rPr>
            </w:pPr>
            <w:r w:rsidRPr="002E6734">
              <w:rPr>
                <w:spacing w:val="-2"/>
                <w:sz w:val="20"/>
                <w:lang w:val="en-US"/>
              </w:rPr>
              <w:t>Compulsory</w:t>
            </w:r>
          </w:p>
          <w:p w14:paraId="2EDFD95E" w14:textId="55A96958" w:rsidR="00E325D4" w:rsidRPr="002E6734" w:rsidRDefault="00E325D4" w:rsidP="00464A63">
            <w:pPr>
              <w:pStyle w:val="TableParagraph"/>
              <w:ind w:left="4"/>
              <w:jc w:val="center"/>
              <w:rPr>
                <w:sz w:val="20"/>
                <w:lang w:val="en-US"/>
              </w:rPr>
            </w:pP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36105DC4" w:rsidR="00E325D4" w:rsidRPr="002E6734" w:rsidRDefault="00947A93"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38AC6315" w:rsidR="00E325D4" w:rsidRPr="002E6734" w:rsidRDefault="002B4B83" w:rsidP="00464A63">
            <w:pPr>
              <w:pStyle w:val="TableParagraph"/>
              <w:ind w:left="14"/>
              <w:jc w:val="center"/>
              <w:rPr>
                <w:sz w:val="20"/>
                <w:lang w:val="en-US"/>
              </w:rPr>
            </w:pPr>
            <w:r>
              <w:rPr>
                <w:sz w:val="20"/>
                <w:lang w:val="en-US"/>
              </w:rPr>
              <w:t>-</w:t>
            </w:r>
          </w:p>
        </w:tc>
        <w:tc>
          <w:tcPr>
            <w:tcW w:w="1852" w:type="dxa"/>
            <w:vAlign w:val="center"/>
          </w:tcPr>
          <w:p w14:paraId="6E69D48B" w14:textId="5C7C2486" w:rsidR="00E325D4" w:rsidRPr="002E6734" w:rsidRDefault="00947A93" w:rsidP="00464A63">
            <w:pPr>
              <w:pStyle w:val="TableParagraph"/>
              <w:jc w:val="center"/>
              <w:rPr>
                <w:sz w:val="20"/>
                <w:lang w:val="en-US"/>
              </w:rPr>
            </w:pPr>
            <w:r>
              <w:rPr>
                <w:sz w:val="20"/>
                <w:lang w:val="en-US"/>
              </w:rPr>
              <w:t>10.02.2026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10B55A1E" w:rsidR="000441DB" w:rsidRPr="002E6734" w:rsidRDefault="00947A93" w:rsidP="001746AA">
            <w:pPr>
              <w:pStyle w:val="TableParagraph"/>
              <w:jc w:val="both"/>
              <w:rPr>
                <w:sz w:val="20"/>
                <w:lang w:val="en-US"/>
              </w:rPr>
            </w:pPr>
            <w:r>
              <w:rPr>
                <w:sz w:val="20"/>
                <w:lang w:val="en-US"/>
              </w:rPr>
              <w:t xml:space="preserve"> Assoc. Prof. Muhammed Hüseyin Mercan &amp; mhmercan@aybu.edu.tr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64314CDA" w:rsidR="00EF389B" w:rsidRPr="00947A93" w:rsidRDefault="00947A93" w:rsidP="00947A93">
            <w:pPr>
              <w:rPr>
                <w:rFonts w:ascii="Times New Roman" w:hAnsi="Times New Roman" w:cs="Times New Roman"/>
                <w:b/>
                <w:lang w:val="en-GB"/>
              </w:rPr>
            </w:pPr>
            <w:r>
              <w:rPr>
                <w:rFonts w:ascii="Times New Roman" w:hAnsi="Times New Roman" w:cs="Times New Roman"/>
                <w:b/>
                <w:lang w:val="en-GB"/>
              </w:rPr>
              <w:t xml:space="preserve"> </w:t>
            </w:r>
            <w:r w:rsidRPr="00947A93">
              <w:rPr>
                <w:rFonts w:ascii="Carlito" w:eastAsia="Carlito" w:hAnsi="Carlito" w:cs="Carlito"/>
                <w:sz w:val="20"/>
                <w:lang w:val="en-US"/>
              </w:rPr>
              <w:t>Tuesday</w:t>
            </w:r>
            <w:r w:rsidRPr="00947A93">
              <w:rPr>
                <w:rFonts w:ascii="Carlito" w:eastAsia="Carlito" w:hAnsi="Carlito" w:cs="Carlito"/>
                <w:sz w:val="20"/>
                <w:lang w:val="en-US"/>
              </w:rPr>
              <w:t>,</w:t>
            </w:r>
            <w:r w:rsidRPr="00947A93">
              <w:rPr>
                <w:rFonts w:ascii="Carlito" w:eastAsia="Carlito" w:hAnsi="Carlito" w:cs="Carlito"/>
                <w:sz w:val="20"/>
                <w:lang w:val="en-US"/>
              </w:rPr>
              <w:t xml:space="preserve"> 12:00-13:00</w:t>
            </w:r>
            <w:r w:rsidRPr="00947A93">
              <w:rPr>
                <w:rFonts w:ascii="Carlito" w:eastAsia="Carlito" w:hAnsi="Carlito" w:cs="Carlito"/>
                <w:sz w:val="20"/>
                <w:lang w:val="en-US"/>
              </w:rPr>
              <w:t xml:space="preserve"> / </w:t>
            </w:r>
            <w:r w:rsidRPr="00947A93">
              <w:rPr>
                <w:rFonts w:ascii="Carlito" w:eastAsia="Carlito" w:hAnsi="Carlito" w:cs="Carlito"/>
                <w:sz w:val="20"/>
                <w:lang w:val="en-US"/>
              </w:rPr>
              <w:t>Thursday 13:00-14:00</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7E4E1BB0" w:rsidR="00EF389B" w:rsidRPr="002E6734" w:rsidRDefault="00947A93" w:rsidP="00EF389B">
            <w:pPr>
              <w:pStyle w:val="TableParagraph"/>
              <w:spacing w:before="54"/>
              <w:ind w:left="110"/>
              <w:jc w:val="both"/>
              <w:rPr>
                <w:sz w:val="20"/>
                <w:lang w:val="en-US"/>
              </w:rPr>
            </w:pPr>
            <w:r>
              <w:rPr>
                <w:sz w:val="20"/>
                <w:lang w:val="en-US"/>
              </w:rPr>
              <w:t>In this course, the students will be informed about general trends and parameters of Turkish Foreign Policy from 1980 to the present.</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40CA3C73" w14:textId="77777777" w:rsidR="00947A93" w:rsidRDefault="00947A93" w:rsidP="00947A93">
            <w:pPr>
              <w:jc w:val="both"/>
              <w:rPr>
                <w:rFonts w:ascii="Carlito" w:eastAsia="Carlito" w:hAnsi="Carlito" w:cs="Carlito"/>
                <w:sz w:val="20"/>
                <w:lang w:val="en-US"/>
              </w:rPr>
            </w:pPr>
            <w:r w:rsidRPr="00A41036">
              <w:rPr>
                <w:rFonts w:ascii="Times New Roman" w:hAnsi="Times New Roman" w:cs="Times New Roman"/>
                <w:b/>
              </w:rPr>
              <w:t>-</w:t>
            </w:r>
            <w:r w:rsidRPr="00947A93">
              <w:rPr>
                <w:rFonts w:ascii="Carlito" w:eastAsia="Carlito" w:hAnsi="Carlito" w:cs="Carlito"/>
                <w:sz w:val="20"/>
                <w:lang w:val="en-US"/>
              </w:rPr>
              <w:t xml:space="preserve"> William Hale, Turkish Foreign Policy Since 1774, 3rd Edition, London: Frank Cass, 2013.</w:t>
            </w:r>
          </w:p>
          <w:p w14:paraId="12A458C0" w14:textId="77777777" w:rsidR="00947A93" w:rsidRPr="00947A93" w:rsidRDefault="00947A93" w:rsidP="00947A93">
            <w:pPr>
              <w:jc w:val="both"/>
              <w:rPr>
                <w:rFonts w:ascii="Carlito" w:eastAsia="Carlito" w:hAnsi="Carlito" w:cs="Carlito"/>
                <w:sz w:val="20"/>
                <w:lang w:val="en-US"/>
              </w:rPr>
            </w:pPr>
          </w:p>
          <w:p w14:paraId="297DD2A2" w14:textId="77777777" w:rsidR="00947A93" w:rsidRPr="00947A93" w:rsidRDefault="00947A93" w:rsidP="00947A93">
            <w:pPr>
              <w:jc w:val="both"/>
              <w:rPr>
                <w:rFonts w:ascii="Carlito" w:eastAsia="Carlito" w:hAnsi="Carlito" w:cs="Carlito"/>
                <w:sz w:val="20"/>
                <w:lang w:val="en-US"/>
              </w:rPr>
            </w:pPr>
            <w:r w:rsidRPr="00947A93">
              <w:rPr>
                <w:rFonts w:ascii="Carlito" w:eastAsia="Carlito" w:hAnsi="Carlito" w:cs="Carlito"/>
                <w:sz w:val="20"/>
                <w:lang w:val="en-US"/>
              </w:rPr>
              <w:t xml:space="preserve">- Baskın Oran (ed.), Turkish Foreign Policy 1919-2006, Salt Lake City: Uni. of Utah Press, 2010. </w:t>
            </w:r>
          </w:p>
          <w:p w14:paraId="6093A56F" w14:textId="5B0655EF" w:rsidR="00EF389B" w:rsidRPr="002E6734" w:rsidRDefault="00947A93" w:rsidP="00947A93">
            <w:pPr>
              <w:pStyle w:val="TableParagraph"/>
              <w:spacing w:before="140"/>
              <w:jc w:val="both"/>
              <w:rPr>
                <w:iCs/>
                <w:sz w:val="20"/>
                <w:lang w:val="en-US"/>
              </w:rPr>
            </w:pPr>
            <w:r w:rsidRPr="00947A93">
              <w:rPr>
                <w:sz w:val="20"/>
                <w:lang w:val="en-US"/>
              </w:rPr>
              <w:t>- Hasan Kösebalaban, Turkish Foreign Policy: Islam, Nationalism, and Globalization, USA: Palgrave, 2011.</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1EC75DF7" w:rsidR="00EF389B" w:rsidRPr="002E6734" w:rsidRDefault="00947A93" w:rsidP="00EF389B">
            <w:pPr>
              <w:pStyle w:val="TableParagraph"/>
              <w:spacing w:before="159"/>
              <w:ind w:left="110"/>
              <w:jc w:val="both"/>
              <w:rPr>
                <w:sz w:val="20"/>
                <w:lang w:val="en-US"/>
              </w:rPr>
            </w:pPr>
            <w:r>
              <w:rPr>
                <w:sz w:val="20"/>
                <w:lang w:val="en-US"/>
              </w:rPr>
              <w:t xml:space="preserve">In this course, </w:t>
            </w:r>
            <w:r w:rsidR="00324AA0">
              <w:rPr>
                <w:sz w:val="20"/>
                <w:lang w:val="en-US"/>
              </w:rPr>
              <w:t>the class discussion method is primarily used for instruction, and students are expected to read the course materials to participate in</w:t>
            </w:r>
            <w:r>
              <w:rPr>
                <w:sz w:val="20"/>
                <w:lang w:val="en-US"/>
              </w:rPr>
              <w:t xml:space="preserve"> </w:t>
            </w:r>
            <w:r w:rsidR="00324AA0">
              <w:rPr>
                <w:sz w:val="20"/>
                <w:lang w:val="en-US"/>
              </w:rPr>
              <w:t xml:space="preserve">discussions. </w:t>
            </w:r>
            <w:r>
              <w:rPr>
                <w:sz w:val="20"/>
                <w:lang w:val="en-US"/>
              </w:rPr>
              <w:t xml:space="preserve">  </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176141" w14:paraId="664FDED0" w14:textId="77777777" w:rsidTr="00A25E79">
              <w:trPr>
                <w:trHeight w:val="278"/>
              </w:trPr>
              <w:tc>
                <w:tcPr>
                  <w:tcW w:w="1024" w:type="dxa"/>
                </w:tcPr>
                <w:p w14:paraId="404040C5" w14:textId="77777777" w:rsidR="00731977" w:rsidRPr="00176141" w:rsidRDefault="00731977" w:rsidP="00731977">
                  <w:pPr>
                    <w:jc w:val="both"/>
                    <w:rPr>
                      <w:rFonts w:ascii="Carlito" w:eastAsia="Carlito" w:hAnsi="Carlito" w:cs="Carlito"/>
                      <w:sz w:val="20"/>
                      <w:lang w:val="en-US"/>
                    </w:rPr>
                  </w:pPr>
                  <w:r w:rsidRPr="00176141">
                    <w:rPr>
                      <w:rFonts w:ascii="Carlito" w:eastAsia="Carlito" w:hAnsi="Carlito" w:cs="Carlito"/>
                      <w:sz w:val="20"/>
                      <w:lang w:val="en-US"/>
                    </w:rPr>
                    <w:t>1</w:t>
                  </w:r>
                </w:p>
              </w:tc>
              <w:tc>
                <w:tcPr>
                  <w:tcW w:w="7796" w:type="dxa"/>
                </w:tcPr>
                <w:p w14:paraId="7C01A625" w14:textId="2B34E6D5" w:rsidR="00731977" w:rsidRPr="00176141" w:rsidRDefault="00AC5568" w:rsidP="00731977">
                  <w:pPr>
                    <w:jc w:val="both"/>
                    <w:rPr>
                      <w:rFonts w:ascii="Carlito" w:eastAsia="Carlito" w:hAnsi="Carlito" w:cs="Carlito"/>
                      <w:sz w:val="20"/>
                      <w:lang w:val="en-US"/>
                    </w:rPr>
                  </w:pPr>
                  <w:r w:rsidRPr="00176141">
                    <w:rPr>
                      <w:rFonts w:ascii="Carlito" w:eastAsia="Carlito" w:hAnsi="Carlito" w:cs="Carlito"/>
                      <w:sz w:val="20"/>
                      <w:lang w:val="en-US"/>
                    </w:rPr>
                    <w:t xml:space="preserve">To learn the dominance of the army in the foreign policy-making process after the coup of September 12, 1980. </w:t>
                  </w:r>
                </w:p>
              </w:tc>
            </w:tr>
            <w:tr w:rsidR="00731977" w:rsidRPr="00176141" w14:paraId="3A5601D0" w14:textId="77777777" w:rsidTr="00A25E79">
              <w:trPr>
                <w:trHeight w:val="266"/>
              </w:trPr>
              <w:tc>
                <w:tcPr>
                  <w:tcW w:w="1024" w:type="dxa"/>
                </w:tcPr>
                <w:p w14:paraId="2123B7B1" w14:textId="77777777" w:rsidR="00731977" w:rsidRPr="00176141" w:rsidRDefault="00731977" w:rsidP="00731977">
                  <w:pPr>
                    <w:jc w:val="both"/>
                    <w:rPr>
                      <w:rFonts w:ascii="Carlito" w:eastAsia="Carlito" w:hAnsi="Carlito" w:cs="Carlito"/>
                      <w:sz w:val="20"/>
                      <w:lang w:val="en-US"/>
                    </w:rPr>
                  </w:pPr>
                  <w:r w:rsidRPr="00176141">
                    <w:rPr>
                      <w:rFonts w:ascii="Carlito" w:eastAsia="Carlito" w:hAnsi="Carlito" w:cs="Carlito"/>
                      <w:sz w:val="20"/>
                      <w:lang w:val="en-US"/>
                    </w:rPr>
                    <w:t>2</w:t>
                  </w:r>
                </w:p>
              </w:tc>
              <w:tc>
                <w:tcPr>
                  <w:tcW w:w="7796" w:type="dxa"/>
                </w:tcPr>
                <w:p w14:paraId="724ACAE1" w14:textId="6C50ECBC" w:rsidR="00731977" w:rsidRPr="00176141" w:rsidRDefault="00AC5568" w:rsidP="00731977">
                  <w:pPr>
                    <w:jc w:val="both"/>
                    <w:rPr>
                      <w:rFonts w:ascii="Carlito" w:eastAsia="Carlito" w:hAnsi="Carlito" w:cs="Carlito"/>
                      <w:sz w:val="20"/>
                      <w:lang w:val="en-US"/>
                    </w:rPr>
                  </w:pPr>
                  <w:r w:rsidRPr="00176141">
                    <w:rPr>
                      <w:rFonts w:ascii="Carlito" w:eastAsia="Carlito" w:hAnsi="Carlito" w:cs="Carlito"/>
                      <w:sz w:val="20"/>
                      <w:lang w:val="en-US"/>
                    </w:rPr>
                    <w:t>To analyze the impact of the end of the Cold War on Türkiye’s foreign policy in the 1990s.</w:t>
                  </w:r>
                </w:p>
              </w:tc>
            </w:tr>
            <w:tr w:rsidR="00731977" w:rsidRPr="00176141" w14:paraId="340C8DE8" w14:textId="77777777" w:rsidTr="00A25E79">
              <w:trPr>
                <w:trHeight w:val="278"/>
              </w:trPr>
              <w:tc>
                <w:tcPr>
                  <w:tcW w:w="1024" w:type="dxa"/>
                </w:tcPr>
                <w:p w14:paraId="10906DF2" w14:textId="77777777" w:rsidR="00731977" w:rsidRPr="00176141" w:rsidRDefault="00731977" w:rsidP="00731977">
                  <w:pPr>
                    <w:jc w:val="both"/>
                    <w:rPr>
                      <w:rFonts w:ascii="Carlito" w:eastAsia="Carlito" w:hAnsi="Carlito" w:cs="Carlito"/>
                      <w:sz w:val="20"/>
                      <w:lang w:val="en-US"/>
                    </w:rPr>
                  </w:pPr>
                  <w:r w:rsidRPr="00176141">
                    <w:rPr>
                      <w:rFonts w:ascii="Carlito" w:eastAsia="Carlito" w:hAnsi="Carlito" w:cs="Carlito"/>
                      <w:sz w:val="20"/>
                      <w:lang w:val="en-US"/>
                    </w:rPr>
                    <w:t>3</w:t>
                  </w:r>
                </w:p>
              </w:tc>
              <w:tc>
                <w:tcPr>
                  <w:tcW w:w="7796" w:type="dxa"/>
                </w:tcPr>
                <w:p w14:paraId="0FD6872D" w14:textId="1C9B7291" w:rsidR="00731977" w:rsidRPr="00176141" w:rsidRDefault="00AC5568" w:rsidP="00731977">
                  <w:pPr>
                    <w:jc w:val="both"/>
                    <w:rPr>
                      <w:rFonts w:ascii="Carlito" w:eastAsia="Carlito" w:hAnsi="Carlito" w:cs="Carlito"/>
                      <w:sz w:val="20"/>
                      <w:lang w:val="en-US"/>
                    </w:rPr>
                  </w:pPr>
                  <w:r w:rsidRPr="00176141">
                    <w:rPr>
                      <w:rFonts w:ascii="Carlito" w:eastAsia="Carlito" w:hAnsi="Carlito" w:cs="Carlito"/>
                      <w:sz w:val="20"/>
                      <w:lang w:val="en-US"/>
                    </w:rPr>
                    <w:t xml:space="preserve">To examine a new foreign policy vision and its parameters under </w:t>
                  </w:r>
                  <w:r w:rsidR="002B4B83" w:rsidRPr="00176141">
                    <w:rPr>
                      <w:rFonts w:ascii="Carlito" w:eastAsia="Carlito" w:hAnsi="Carlito" w:cs="Carlito"/>
                      <w:sz w:val="20"/>
                      <w:lang w:val="en-US"/>
                    </w:rPr>
                    <w:t xml:space="preserve">the </w:t>
                  </w:r>
                  <w:r w:rsidRPr="00176141">
                    <w:rPr>
                      <w:rFonts w:ascii="Carlito" w:eastAsia="Carlito" w:hAnsi="Carlito" w:cs="Carlito"/>
                      <w:sz w:val="20"/>
                      <w:lang w:val="en-US"/>
                    </w:rPr>
                    <w:t>AK Party rule</w:t>
                  </w:r>
                </w:p>
              </w:tc>
            </w:tr>
            <w:tr w:rsidR="00731977" w:rsidRPr="00176141" w14:paraId="51D0F1F4" w14:textId="77777777" w:rsidTr="00A25E79">
              <w:trPr>
                <w:trHeight w:val="278"/>
              </w:trPr>
              <w:tc>
                <w:tcPr>
                  <w:tcW w:w="1024" w:type="dxa"/>
                </w:tcPr>
                <w:p w14:paraId="60ACDED6" w14:textId="77777777" w:rsidR="00731977" w:rsidRPr="00176141" w:rsidRDefault="00731977" w:rsidP="00731977">
                  <w:pPr>
                    <w:jc w:val="both"/>
                    <w:rPr>
                      <w:rFonts w:ascii="Carlito" w:eastAsia="Carlito" w:hAnsi="Carlito" w:cs="Carlito"/>
                      <w:sz w:val="20"/>
                      <w:lang w:val="en-US"/>
                    </w:rPr>
                  </w:pPr>
                  <w:r w:rsidRPr="00176141">
                    <w:rPr>
                      <w:rFonts w:ascii="Carlito" w:eastAsia="Carlito" w:hAnsi="Carlito" w:cs="Carlito"/>
                      <w:sz w:val="20"/>
                      <w:lang w:val="en-US"/>
                    </w:rPr>
                    <w:t>4</w:t>
                  </w:r>
                </w:p>
              </w:tc>
              <w:tc>
                <w:tcPr>
                  <w:tcW w:w="7796" w:type="dxa"/>
                </w:tcPr>
                <w:p w14:paraId="62EDA49C" w14:textId="165FFA02" w:rsidR="00731977" w:rsidRPr="00176141" w:rsidRDefault="00AC5568" w:rsidP="00731977">
                  <w:pPr>
                    <w:jc w:val="both"/>
                    <w:rPr>
                      <w:rFonts w:ascii="Carlito" w:eastAsia="Carlito" w:hAnsi="Carlito" w:cs="Carlito"/>
                      <w:sz w:val="20"/>
                      <w:lang w:val="en-US"/>
                    </w:rPr>
                  </w:pPr>
                  <w:r w:rsidRPr="00176141">
                    <w:rPr>
                      <w:rFonts w:ascii="Carlito" w:eastAsia="Carlito" w:hAnsi="Carlito" w:cs="Carlito"/>
                      <w:sz w:val="20"/>
                      <w:lang w:val="en-US"/>
                    </w:rPr>
                    <w:t xml:space="preserve">To compare the foreign policy strategies of the AK Party to the traditional trends in Türkiye’s foreign policy preferences. </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176141" w:rsidRDefault="00731977" w:rsidP="00731977">
            <w:pPr>
              <w:pStyle w:val="TableParagraph"/>
              <w:jc w:val="both"/>
              <w:rPr>
                <w:sz w:val="20"/>
                <w:lang w:val="en-US"/>
              </w:rPr>
            </w:pPr>
            <w:r w:rsidRPr="00176141">
              <w:rPr>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176141" w14:paraId="7E10CF4A" w14:textId="77777777" w:rsidTr="00A25E79">
              <w:trPr>
                <w:trHeight w:val="280"/>
              </w:trPr>
              <w:tc>
                <w:tcPr>
                  <w:tcW w:w="1024" w:type="dxa"/>
                </w:tcPr>
                <w:p w14:paraId="3F5B9EAD" w14:textId="3A62A7C7" w:rsidR="00731977" w:rsidRPr="00176141" w:rsidRDefault="00AC5568" w:rsidP="00731977">
                  <w:pPr>
                    <w:jc w:val="both"/>
                    <w:rPr>
                      <w:rFonts w:ascii="Carlito" w:eastAsia="Carlito" w:hAnsi="Carlito" w:cs="Carlito"/>
                      <w:sz w:val="20"/>
                      <w:lang w:val="en-US"/>
                    </w:rPr>
                  </w:pPr>
                  <w:r w:rsidRPr="00176141">
                    <w:rPr>
                      <w:rFonts w:ascii="Carlito" w:eastAsia="Carlito" w:hAnsi="Carlito" w:cs="Carlito"/>
                      <w:sz w:val="20"/>
                      <w:lang w:val="en-US"/>
                    </w:rPr>
                    <w:t>1</w:t>
                  </w:r>
                </w:p>
              </w:tc>
              <w:tc>
                <w:tcPr>
                  <w:tcW w:w="7784" w:type="dxa"/>
                </w:tcPr>
                <w:p w14:paraId="38E32BB7" w14:textId="41DA0C3C" w:rsidR="00731977" w:rsidRPr="00176141" w:rsidRDefault="00F834AE" w:rsidP="00731977">
                  <w:pPr>
                    <w:jc w:val="both"/>
                    <w:rPr>
                      <w:rFonts w:ascii="Carlito" w:eastAsia="Carlito" w:hAnsi="Carlito" w:cs="Carlito"/>
                      <w:sz w:val="20"/>
                      <w:lang w:val="en-US"/>
                    </w:rPr>
                  </w:pPr>
                  <w:r w:rsidRPr="00176141">
                    <w:rPr>
                      <w:rFonts w:ascii="Carlito" w:eastAsia="Carlito" w:hAnsi="Carlito" w:cs="Carlito"/>
                      <w:sz w:val="20"/>
                      <w:lang w:val="en-US"/>
                    </w:rPr>
                    <w:t xml:space="preserve">Possess </w:t>
                  </w:r>
                  <w:r w:rsidRPr="00176141">
                    <w:rPr>
                      <w:rFonts w:ascii="Carlito" w:eastAsia="Carlito" w:hAnsi="Carlito" w:cs="Carlito"/>
                      <w:sz w:val="20"/>
                      <w:lang w:val="en-US"/>
                    </w:rPr>
                    <w:t>the ability to analyze the fundamental dynamics, key actors, and turning points of Turkish foreign policy from the 1980 military coup to the present within historical and theoretical frameworks.</w:t>
                  </w:r>
                </w:p>
              </w:tc>
            </w:tr>
            <w:tr w:rsidR="00731977" w:rsidRPr="00176141" w14:paraId="109BAA97" w14:textId="77777777" w:rsidTr="00A25E79">
              <w:trPr>
                <w:trHeight w:val="268"/>
              </w:trPr>
              <w:tc>
                <w:tcPr>
                  <w:tcW w:w="1024" w:type="dxa"/>
                </w:tcPr>
                <w:p w14:paraId="65ED327B" w14:textId="75CB4406" w:rsidR="00731977" w:rsidRPr="00176141" w:rsidRDefault="00AC5568" w:rsidP="00731977">
                  <w:pPr>
                    <w:jc w:val="both"/>
                    <w:rPr>
                      <w:rFonts w:ascii="Carlito" w:eastAsia="Carlito" w:hAnsi="Carlito" w:cs="Carlito"/>
                      <w:sz w:val="20"/>
                      <w:lang w:val="en-US"/>
                    </w:rPr>
                  </w:pPr>
                  <w:r w:rsidRPr="00176141">
                    <w:rPr>
                      <w:rFonts w:ascii="Carlito" w:eastAsia="Carlito" w:hAnsi="Carlito" w:cs="Carlito"/>
                      <w:sz w:val="20"/>
                      <w:lang w:val="en-US"/>
                    </w:rPr>
                    <w:t>2</w:t>
                  </w:r>
                </w:p>
              </w:tc>
              <w:tc>
                <w:tcPr>
                  <w:tcW w:w="7784" w:type="dxa"/>
                </w:tcPr>
                <w:p w14:paraId="57B68867" w14:textId="42272D51" w:rsidR="00731977" w:rsidRPr="00176141" w:rsidRDefault="00F834AE" w:rsidP="00731977">
                  <w:pPr>
                    <w:jc w:val="both"/>
                    <w:rPr>
                      <w:rFonts w:ascii="Carlito" w:eastAsia="Carlito" w:hAnsi="Carlito" w:cs="Carlito"/>
                      <w:sz w:val="20"/>
                      <w:lang w:val="en-US"/>
                    </w:rPr>
                  </w:pPr>
                  <w:r w:rsidRPr="00176141">
                    <w:rPr>
                      <w:rFonts w:ascii="Carlito" w:eastAsia="Carlito" w:hAnsi="Carlito" w:cs="Carlito"/>
                      <w:sz w:val="20"/>
                      <w:lang w:val="en-US"/>
                    </w:rPr>
                    <w:t xml:space="preserve">Possesses a critique of </w:t>
                  </w:r>
                  <w:r w:rsidRPr="00176141">
                    <w:rPr>
                      <w:rFonts w:ascii="Carlito" w:eastAsia="Carlito" w:hAnsi="Carlito" w:cs="Carlito"/>
                      <w:sz w:val="20"/>
                      <w:lang w:val="en-US"/>
                    </w:rPr>
                    <w:t>the continuity and change in Turkish foreign policy by comparing different periods (such as the post-coup era, the Özal era, the post-Cold War era, and the AK</w:t>
                  </w:r>
                  <w:r w:rsidR="00176141" w:rsidRPr="00176141">
                    <w:rPr>
                      <w:rFonts w:ascii="Carlito" w:eastAsia="Carlito" w:hAnsi="Carlito" w:cs="Carlito"/>
                      <w:sz w:val="20"/>
                      <w:lang w:val="en-US"/>
                    </w:rPr>
                    <w:t xml:space="preserve"> </w:t>
                  </w:r>
                  <w:r w:rsidRPr="00176141">
                    <w:rPr>
                      <w:rFonts w:ascii="Carlito" w:eastAsia="Carlito" w:hAnsi="Carlito" w:cs="Carlito"/>
                      <w:sz w:val="20"/>
                      <w:lang w:val="en-US"/>
                    </w:rPr>
                    <w:t>P</w:t>
                  </w:r>
                  <w:r w:rsidR="00176141" w:rsidRPr="00176141">
                    <w:rPr>
                      <w:rFonts w:ascii="Carlito" w:eastAsia="Carlito" w:hAnsi="Carlito" w:cs="Carlito"/>
                      <w:sz w:val="20"/>
                      <w:lang w:val="en-US"/>
                    </w:rPr>
                    <w:t>arty</w:t>
                  </w:r>
                  <w:r w:rsidRPr="00176141">
                    <w:rPr>
                      <w:rFonts w:ascii="Carlito" w:eastAsia="Carlito" w:hAnsi="Carlito" w:cs="Carlito"/>
                      <w:sz w:val="20"/>
                      <w:lang w:val="en-US"/>
                    </w:rPr>
                    <w:t xml:space="preserve"> era).</w:t>
                  </w:r>
                </w:p>
              </w:tc>
            </w:tr>
            <w:tr w:rsidR="00731977" w:rsidRPr="00176141" w14:paraId="57915FD8" w14:textId="77777777" w:rsidTr="00A25E79">
              <w:trPr>
                <w:trHeight w:val="280"/>
              </w:trPr>
              <w:tc>
                <w:tcPr>
                  <w:tcW w:w="1024" w:type="dxa"/>
                </w:tcPr>
                <w:p w14:paraId="3EEC2E29" w14:textId="11FD8601" w:rsidR="00731977" w:rsidRPr="00176141" w:rsidRDefault="00AC5568" w:rsidP="00731977">
                  <w:pPr>
                    <w:jc w:val="both"/>
                    <w:rPr>
                      <w:rFonts w:ascii="Carlito" w:eastAsia="Carlito" w:hAnsi="Carlito" w:cs="Carlito"/>
                      <w:sz w:val="20"/>
                      <w:lang w:val="en-US"/>
                    </w:rPr>
                  </w:pPr>
                  <w:r w:rsidRPr="00176141">
                    <w:rPr>
                      <w:rFonts w:ascii="Carlito" w:eastAsia="Carlito" w:hAnsi="Carlito" w:cs="Carlito"/>
                      <w:sz w:val="20"/>
                      <w:lang w:val="en-US"/>
                    </w:rPr>
                    <w:t>3</w:t>
                  </w:r>
                </w:p>
              </w:tc>
              <w:tc>
                <w:tcPr>
                  <w:tcW w:w="7784" w:type="dxa"/>
                </w:tcPr>
                <w:p w14:paraId="05B3A36E" w14:textId="13B6B789" w:rsidR="00731977" w:rsidRPr="00176141" w:rsidRDefault="00176141" w:rsidP="00731977">
                  <w:pPr>
                    <w:jc w:val="both"/>
                    <w:rPr>
                      <w:rFonts w:ascii="Carlito" w:eastAsia="Carlito" w:hAnsi="Carlito" w:cs="Carlito"/>
                      <w:sz w:val="20"/>
                      <w:lang w:val="en-US"/>
                    </w:rPr>
                  </w:pPr>
                  <w:r w:rsidRPr="00176141">
                    <w:rPr>
                      <w:rFonts w:ascii="Carlito" w:eastAsia="Carlito" w:hAnsi="Carlito" w:cs="Carlito"/>
                      <w:sz w:val="20"/>
                      <w:lang w:val="en-US"/>
                    </w:rPr>
                    <w:t xml:space="preserve">Possesses an understanding of </w:t>
                  </w:r>
                  <w:r w:rsidRPr="00176141">
                    <w:rPr>
                      <w:rFonts w:ascii="Carlito" w:eastAsia="Carlito" w:hAnsi="Carlito" w:cs="Carlito"/>
                      <w:sz w:val="20"/>
                      <w:lang w:val="en-US"/>
                    </w:rPr>
                    <w:t>how regional developments—such as those in the Middle East, the Balkans, and the European Union—as well as global transformations like the end of the Cold War and globalization have shaped T</w:t>
                  </w:r>
                  <w:r w:rsidRPr="00176141">
                    <w:rPr>
                      <w:rFonts w:ascii="Carlito" w:eastAsia="Carlito" w:hAnsi="Carlito" w:cs="Carlito"/>
                      <w:sz w:val="20"/>
                      <w:lang w:val="en-US"/>
                    </w:rPr>
                    <w:t>ürkiye’s</w:t>
                  </w:r>
                  <w:r w:rsidRPr="00176141">
                    <w:rPr>
                      <w:rFonts w:ascii="Carlito" w:eastAsia="Carlito" w:hAnsi="Carlito" w:cs="Carlito"/>
                      <w:sz w:val="20"/>
                      <w:lang w:val="en-US"/>
                    </w:rPr>
                    <w:t xml:space="preserve"> foreign policy.</w:t>
                  </w:r>
                </w:p>
              </w:tc>
            </w:tr>
            <w:tr w:rsidR="00731977" w:rsidRPr="00176141" w14:paraId="30202A05" w14:textId="77777777" w:rsidTr="00A25E79">
              <w:trPr>
                <w:trHeight w:val="268"/>
              </w:trPr>
              <w:tc>
                <w:tcPr>
                  <w:tcW w:w="1024" w:type="dxa"/>
                </w:tcPr>
                <w:p w14:paraId="7F16B3BD" w14:textId="460A9686" w:rsidR="00731977" w:rsidRPr="00176141" w:rsidRDefault="00AC5568" w:rsidP="00731977">
                  <w:pPr>
                    <w:jc w:val="both"/>
                    <w:rPr>
                      <w:rFonts w:ascii="Carlito" w:eastAsia="Carlito" w:hAnsi="Carlito" w:cs="Carlito"/>
                      <w:sz w:val="20"/>
                      <w:lang w:val="en-US"/>
                    </w:rPr>
                  </w:pPr>
                  <w:r w:rsidRPr="00176141">
                    <w:rPr>
                      <w:rFonts w:ascii="Carlito" w:eastAsia="Carlito" w:hAnsi="Carlito" w:cs="Carlito"/>
                      <w:sz w:val="20"/>
                      <w:lang w:val="en-US"/>
                    </w:rPr>
                    <w:t>4</w:t>
                  </w:r>
                </w:p>
              </w:tc>
              <w:tc>
                <w:tcPr>
                  <w:tcW w:w="7784" w:type="dxa"/>
                </w:tcPr>
                <w:p w14:paraId="24FA446F" w14:textId="35575996" w:rsidR="00731977" w:rsidRPr="00176141" w:rsidRDefault="00176141" w:rsidP="00731977">
                  <w:pPr>
                    <w:jc w:val="both"/>
                    <w:rPr>
                      <w:rFonts w:ascii="Carlito" w:eastAsia="Carlito" w:hAnsi="Carlito" w:cs="Carlito"/>
                      <w:sz w:val="20"/>
                      <w:lang w:val="en-US"/>
                    </w:rPr>
                  </w:pPr>
                  <w:r>
                    <w:rPr>
                      <w:rFonts w:ascii="Carlito" w:eastAsia="Carlito" w:hAnsi="Carlito" w:cs="Carlito"/>
                      <w:sz w:val="20"/>
                      <w:lang w:val="en-US"/>
                    </w:rPr>
                    <w:t>Possesses an analysis of what strategies Türkiye implemented to stop the genocide in Gaza and to promote the Syrian Revolution in international arena.</w:t>
                  </w:r>
                </w:p>
              </w:tc>
            </w:tr>
            <w:tr w:rsidR="00731977" w:rsidRPr="00176141" w14:paraId="089B4BCC" w14:textId="77777777" w:rsidTr="00A25E79">
              <w:trPr>
                <w:trHeight w:val="280"/>
              </w:trPr>
              <w:tc>
                <w:tcPr>
                  <w:tcW w:w="1024" w:type="dxa"/>
                </w:tcPr>
                <w:p w14:paraId="5CF8D788" w14:textId="77777777" w:rsidR="00731977" w:rsidRPr="00176141" w:rsidRDefault="00731977" w:rsidP="00731977">
                  <w:pPr>
                    <w:jc w:val="both"/>
                    <w:rPr>
                      <w:rFonts w:ascii="Carlito" w:eastAsia="Carlito" w:hAnsi="Carlito" w:cs="Carlito"/>
                      <w:sz w:val="20"/>
                      <w:lang w:val="en-US"/>
                    </w:rPr>
                  </w:pPr>
                </w:p>
              </w:tc>
              <w:tc>
                <w:tcPr>
                  <w:tcW w:w="7784" w:type="dxa"/>
                </w:tcPr>
                <w:p w14:paraId="517174D1" w14:textId="77777777" w:rsidR="00731977" w:rsidRPr="00176141" w:rsidRDefault="00731977" w:rsidP="00731977">
                  <w:pPr>
                    <w:jc w:val="both"/>
                    <w:rPr>
                      <w:rFonts w:ascii="Carlito" w:eastAsia="Carlito" w:hAnsi="Carlito" w:cs="Carlito"/>
                      <w:sz w:val="20"/>
                      <w:lang w:val="en-US"/>
                    </w:rPr>
                  </w:pPr>
                </w:p>
              </w:tc>
            </w:tr>
            <w:tr w:rsidR="00731977" w:rsidRPr="00176141" w14:paraId="17464FAF" w14:textId="77777777" w:rsidTr="00A25E79">
              <w:trPr>
                <w:trHeight w:val="280"/>
              </w:trPr>
              <w:tc>
                <w:tcPr>
                  <w:tcW w:w="1024" w:type="dxa"/>
                </w:tcPr>
                <w:p w14:paraId="48B78ABB" w14:textId="77777777" w:rsidR="00731977" w:rsidRPr="00176141" w:rsidRDefault="00731977" w:rsidP="00731977">
                  <w:pPr>
                    <w:jc w:val="both"/>
                    <w:rPr>
                      <w:rFonts w:ascii="Carlito" w:eastAsia="Carlito" w:hAnsi="Carlito" w:cs="Carlito"/>
                      <w:sz w:val="20"/>
                      <w:lang w:val="en-US"/>
                    </w:rPr>
                  </w:pPr>
                </w:p>
              </w:tc>
              <w:tc>
                <w:tcPr>
                  <w:tcW w:w="7784" w:type="dxa"/>
                </w:tcPr>
                <w:p w14:paraId="4451F58F" w14:textId="77777777" w:rsidR="00731977" w:rsidRPr="00176141" w:rsidRDefault="00731977" w:rsidP="00731977">
                  <w:pPr>
                    <w:jc w:val="both"/>
                    <w:rPr>
                      <w:rFonts w:ascii="Carlito" w:eastAsia="Carlito" w:hAnsi="Carlito" w:cs="Carlito"/>
                      <w:sz w:val="20"/>
                      <w:lang w:val="en-US"/>
                    </w:rPr>
                  </w:pPr>
                </w:p>
              </w:tc>
            </w:tr>
            <w:tr w:rsidR="00731977" w:rsidRPr="00176141" w14:paraId="59554A46" w14:textId="77777777" w:rsidTr="00A25E79">
              <w:trPr>
                <w:trHeight w:val="280"/>
              </w:trPr>
              <w:tc>
                <w:tcPr>
                  <w:tcW w:w="1024" w:type="dxa"/>
                </w:tcPr>
                <w:p w14:paraId="7F6BB327" w14:textId="77777777" w:rsidR="00731977" w:rsidRPr="00176141" w:rsidRDefault="00731977" w:rsidP="00731977">
                  <w:pPr>
                    <w:jc w:val="both"/>
                    <w:rPr>
                      <w:rFonts w:ascii="Carlito" w:eastAsia="Carlito" w:hAnsi="Carlito" w:cs="Carlito"/>
                      <w:sz w:val="20"/>
                      <w:lang w:val="en-US"/>
                    </w:rPr>
                  </w:pPr>
                </w:p>
              </w:tc>
              <w:tc>
                <w:tcPr>
                  <w:tcW w:w="7784" w:type="dxa"/>
                </w:tcPr>
                <w:p w14:paraId="61C4E36A" w14:textId="77777777" w:rsidR="00731977" w:rsidRPr="00176141" w:rsidRDefault="00731977" w:rsidP="00731977">
                  <w:pPr>
                    <w:jc w:val="both"/>
                    <w:rPr>
                      <w:rFonts w:ascii="Carlito" w:eastAsia="Carlito" w:hAnsi="Carlito" w:cs="Carlito"/>
                      <w:sz w:val="20"/>
                      <w:lang w:val="en-US"/>
                    </w:rPr>
                  </w:pPr>
                </w:p>
              </w:tc>
            </w:tr>
            <w:tr w:rsidR="00731977" w:rsidRPr="00176141" w14:paraId="1487A263" w14:textId="77777777" w:rsidTr="00A25E79">
              <w:trPr>
                <w:trHeight w:val="280"/>
              </w:trPr>
              <w:tc>
                <w:tcPr>
                  <w:tcW w:w="1024" w:type="dxa"/>
                </w:tcPr>
                <w:p w14:paraId="380F476E" w14:textId="77777777" w:rsidR="00731977" w:rsidRPr="00176141" w:rsidRDefault="00731977" w:rsidP="00731977">
                  <w:pPr>
                    <w:jc w:val="both"/>
                    <w:rPr>
                      <w:rFonts w:ascii="Carlito" w:eastAsia="Carlito" w:hAnsi="Carlito" w:cs="Carlito"/>
                      <w:sz w:val="20"/>
                      <w:lang w:val="en-US"/>
                    </w:rPr>
                  </w:pPr>
                </w:p>
              </w:tc>
              <w:tc>
                <w:tcPr>
                  <w:tcW w:w="7784" w:type="dxa"/>
                </w:tcPr>
                <w:p w14:paraId="3D34254C" w14:textId="77777777" w:rsidR="00731977" w:rsidRPr="00176141" w:rsidRDefault="00731977" w:rsidP="00731977">
                  <w:pPr>
                    <w:jc w:val="both"/>
                    <w:rPr>
                      <w:rFonts w:ascii="Carlito" w:eastAsia="Carlito" w:hAnsi="Carlito" w:cs="Carlito"/>
                      <w:sz w:val="20"/>
                      <w:lang w:val="en-US"/>
                    </w:rPr>
                  </w:pPr>
                </w:p>
              </w:tc>
            </w:tr>
            <w:tr w:rsidR="00731977" w:rsidRPr="00176141" w14:paraId="56E80B33" w14:textId="77777777" w:rsidTr="00A25E79">
              <w:trPr>
                <w:trHeight w:val="280"/>
              </w:trPr>
              <w:tc>
                <w:tcPr>
                  <w:tcW w:w="1024" w:type="dxa"/>
                </w:tcPr>
                <w:p w14:paraId="326D7846" w14:textId="77777777" w:rsidR="00731977" w:rsidRPr="00176141" w:rsidRDefault="00731977" w:rsidP="00731977">
                  <w:pPr>
                    <w:jc w:val="both"/>
                    <w:rPr>
                      <w:rFonts w:ascii="Carlito" w:eastAsia="Carlito" w:hAnsi="Carlito" w:cs="Carlito"/>
                      <w:sz w:val="20"/>
                      <w:lang w:val="en-US"/>
                    </w:rPr>
                  </w:pPr>
                </w:p>
              </w:tc>
              <w:tc>
                <w:tcPr>
                  <w:tcW w:w="7784" w:type="dxa"/>
                </w:tcPr>
                <w:p w14:paraId="2CABD3C6" w14:textId="77777777" w:rsidR="00731977" w:rsidRPr="00176141" w:rsidRDefault="00731977" w:rsidP="00731977">
                  <w:pPr>
                    <w:jc w:val="both"/>
                    <w:rPr>
                      <w:rFonts w:ascii="Carlito" w:eastAsia="Carlito" w:hAnsi="Carlito" w:cs="Carlito"/>
                      <w:sz w:val="20"/>
                      <w:lang w:val="en-US"/>
                    </w:rPr>
                  </w:pPr>
                </w:p>
              </w:tc>
            </w:tr>
            <w:tr w:rsidR="00731977" w:rsidRPr="00176141" w14:paraId="4882A89C" w14:textId="77777777" w:rsidTr="00A25E79">
              <w:trPr>
                <w:trHeight w:val="280"/>
              </w:trPr>
              <w:tc>
                <w:tcPr>
                  <w:tcW w:w="1024" w:type="dxa"/>
                </w:tcPr>
                <w:p w14:paraId="1F028D2E" w14:textId="77777777" w:rsidR="00731977" w:rsidRPr="00176141" w:rsidRDefault="00731977" w:rsidP="00731977">
                  <w:pPr>
                    <w:jc w:val="both"/>
                    <w:rPr>
                      <w:rFonts w:ascii="Carlito" w:eastAsia="Carlito" w:hAnsi="Carlito" w:cs="Carlito"/>
                      <w:sz w:val="20"/>
                      <w:lang w:val="en-US"/>
                    </w:rPr>
                  </w:pPr>
                </w:p>
              </w:tc>
              <w:tc>
                <w:tcPr>
                  <w:tcW w:w="7784" w:type="dxa"/>
                </w:tcPr>
                <w:p w14:paraId="3FEED588" w14:textId="77777777" w:rsidR="00731977" w:rsidRPr="00176141" w:rsidRDefault="00731977" w:rsidP="00731977">
                  <w:pPr>
                    <w:jc w:val="both"/>
                    <w:rPr>
                      <w:rFonts w:ascii="Carlito" w:eastAsia="Carlito" w:hAnsi="Carlito" w:cs="Carlito"/>
                      <w:sz w:val="20"/>
                      <w:lang w:val="en-US"/>
                    </w:rPr>
                  </w:pP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t>Contribution of the Course to Field Instruction</w:t>
            </w:r>
          </w:p>
        </w:tc>
        <w:tc>
          <w:tcPr>
            <w:tcW w:w="8835" w:type="dxa"/>
            <w:gridSpan w:val="5"/>
            <w:vAlign w:val="center"/>
          </w:tcPr>
          <w:p w14:paraId="27278B09" w14:textId="45691375" w:rsidR="00EF389B" w:rsidRPr="002E6734" w:rsidRDefault="00AC5568" w:rsidP="002B4B83">
            <w:pPr>
              <w:pStyle w:val="TableParagraph"/>
              <w:ind w:left="110"/>
              <w:jc w:val="both"/>
              <w:rPr>
                <w:sz w:val="20"/>
                <w:lang w:val="en-US"/>
              </w:rPr>
            </w:pPr>
            <w:r>
              <w:rPr>
                <w:sz w:val="20"/>
                <w:lang w:val="en-US"/>
              </w:rPr>
              <w:t xml:space="preserve">The students will </w:t>
            </w:r>
            <w:r w:rsidR="002B4B83">
              <w:rPr>
                <w:sz w:val="20"/>
                <w:lang w:val="en-US"/>
              </w:rPr>
              <w:t xml:space="preserve">gain knowledge of mainstream trends and parameters in Turkish foreign policy and develop a perspective on </w:t>
            </w:r>
            <w:r w:rsidR="00F834AE">
              <w:rPr>
                <w:sz w:val="20"/>
                <w:lang w:val="en-US"/>
              </w:rPr>
              <w:t>Türkiye's responses</w:t>
            </w:r>
            <w:r w:rsidR="002B4B83">
              <w:rPr>
                <w:sz w:val="20"/>
                <w:lang w:val="en-US"/>
              </w:rPr>
              <w:t xml:space="preserve"> to regional and international developments in the post-1980 era.  </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lastRenderedPageBreak/>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324AA0" w:rsidRPr="002E6734" w14:paraId="0E84BC14" w14:textId="77777777" w:rsidTr="00651F0F">
              <w:tc>
                <w:tcPr>
                  <w:tcW w:w="1024" w:type="dxa"/>
                </w:tcPr>
                <w:p w14:paraId="4792F858" w14:textId="6FE15463" w:rsidR="00324AA0" w:rsidRPr="002E6734" w:rsidRDefault="00324AA0" w:rsidP="00324AA0">
                  <w:pPr>
                    <w:jc w:val="both"/>
                    <w:rPr>
                      <w:lang w:val="en-US"/>
                    </w:rPr>
                  </w:pPr>
                  <w:r w:rsidRPr="002E6734">
                    <w:rPr>
                      <w:sz w:val="20"/>
                      <w:szCs w:val="20"/>
                      <w:lang w:val="en-US"/>
                    </w:rPr>
                    <w:t>1. Week</w:t>
                  </w:r>
                </w:p>
              </w:tc>
              <w:tc>
                <w:tcPr>
                  <w:tcW w:w="7786" w:type="dxa"/>
                </w:tcPr>
                <w:p w14:paraId="6C4E2F98" w14:textId="1A8F514E" w:rsidR="00324AA0" w:rsidRPr="00324AA0" w:rsidRDefault="00AC5568" w:rsidP="00324AA0">
                  <w:pPr>
                    <w:jc w:val="both"/>
                    <w:rPr>
                      <w:sz w:val="20"/>
                      <w:szCs w:val="20"/>
                      <w:lang w:val="en-US"/>
                    </w:rPr>
                  </w:pPr>
                  <w:r>
                    <w:rPr>
                      <w:sz w:val="20"/>
                      <w:szCs w:val="20"/>
                      <w:lang w:val="en-US"/>
                    </w:rPr>
                    <w:t>Introduction</w:t>
                  </w:r>
                </w:p>
              </w:tc>
            </w:tr>
            <w:tr w:rsidR="00AC5568" w:rsidRPr="002E6734" w14:paraId="48B2FD97" w14:textId="77777777" w:rsidTr="00651F0F">
              <w:tc>
                <w:tcPr>
                  <w:tcW w:w="1024" w:type="dxa"/>
                </w:tcPr>
                <w:p w14:paraId="15300749" w14:textId="32549FCE" w:rsidR="00AC5568" w:rsidRPr="002E6734" w:rsidRDefault="00AC5568" w:rsidP="00AC5568">
                  <w:pPr>
                    <w:jc w:val="both"/>
                    <w:rPr>
                      <w:lang w:val="en-US"/>
                    </w:rPr>
                  </w:pPr>
                  <w:r w:rsidRPr="002E6734">
                    <w:rPr>
                      <w:sz w:val="20"/>
                      <w:szCs w:val="20"/>
                      <w:lang w:val="en-US"/>
                    </w:rPr>
                    <w:t>2. Week</w:t>
                  </w:r>
                </w:p>
              </w:tc>
              <w:tc>
                <w:tcPr>
                  <w:tcW w:w="7786" w:type="dxa"/>
                </w:tcPr>
                <w:p w14:paraId="6E9441F3" w14:textId="3DA1E2D9" w:rsidR="00AC5568" w:rsidRPr="00324AA0" w:rsidRDefault="00AC5568" w:rsidP="00AC5568">
                  <w:pPr>
                    <w:jc w:val="both"/>
                    <w:rPr>
                      <w:sz w:val="20"/>
                      <w:szCs w:val="20"/>
                      <w:lang w:val="en-US"/>
                    </w:rPr>
                  </w:pPr>
                  <w:r w:rsidRPr="00324AA0">
                    <w:rPr>
                      <w:sz w:val="20"/>
                      <w:szCs w:val="20"/>
                      <w:lang w:val="en-US"/>
                    </w:rPr>
                    <w:t>Turkish Foreign Policy in the 1980s- (Early post- Coup Era)</w:t>
                  </w:r>
                </w:p>
              </w:tc>
            </w:tr>
            <w:tr w:rsidR="00AC5568" w:rsidRPr="002E6734" w14:paraId="48D28821" w14:textId="77777777" w:rsidTr="00651F0F">
              <w:tc>
                <w:tcPr>
                  <w:tcW w:w="1024" w:type="dxa"/>
                </w:tcPr>
                <w:p w14:paraId="15B75C81" w14:textId="14F5FB7D" w:rsidR="00AC5568" w:rsidRPr="002E6734" w:rsidRDefault="00AC5568" w:rsidP="00AC5568">
                  <w:pPr>
                    <w:jc w:val="both"/>
                    <w:rPr>
                      <w:lang w:val="en-US"/>
                    </w:rPr>
                  </w:pPr>
                  <w:r w:rsidRPr="002E6734">
                    <w:rPr>
                      <w:sz w:val="20"/>
                      <w:szCs w:val="20"/>
                      <w:lang w:val="en-US"/>
                    </w:rPr>
                    <w:t>3. Week</w:t>
                  </w:r>
                </w:p>
              </w:tc>
              <w:tc>
                <w:tcPr>
                  <w:tcW w:w="7786" w:type="dxa"/>
                </w:tcPr>
                <w:p w14:paraId="366481C1" w14:textId="068875E7" w:rsidR="00AC5568" w:rsidRPr="00324AA0" w:rsidRDefault="00AC5568" w:rsidP="00AC5568">
                  <w:pPr>
                    <w:jc w:val="both"/>
                    <w:rPr>
                      <w:sz w:val="20"/>
                      <w:szCs w:val="20"/>
                      <w:lang w:val="en-US"/>
                    </w:rPr>
                  </w:pPr>
                  <w:r w:rsidRPr="00324AA0">
                    <w:rPr>
                      <w:sz w:val="20"/>
                      <w:szCs w:val="20"/>
                      <w:lang w:val="en-US"/>
                    </w:rPr>
                    <w:t>Turkish Foreign Policy in the 1980s- (Özal Governments)</w:t>
                  </w:r>
                </w:p>
              </w:tc>
            </w:tr>
            <w:tr w:rsidR="00AC5568" w:rsidRPr="002E6734" w14:paraId="73FCE1C6" w14:textId="77777777" w:rsidTr="00651F0F">
              <w:tc>
                <w:tcPr>
                  <w:tcW w:w="1024" w:type="dxa"/>
                </w:tcPr>
                <w:p w14:paraId="4FBD2A9C" w14:textId="77C2F814" w:rsidR="00AC5568" w:rsidRPr="002E6734" w:rsidRDefault="00AC5568" w:rsidP="00AC5568">
                  <w:pPr>
                    <w:jc w:val="both"/>
                    <w:rPr>
                      <w:lang w:val="en-US"/>
                    </w:rPr>
                  </w:pPr>
                  <w:r w:rsidRPr="002E6734">
                    <w:rPr>
                      <w:sz w:val="20"/>
                      <w:szCs w:val="20"/>
                      <w:lang w:val="en-US"/>
                    </w:rPr>
                    <w:t>4. Week</w:t>
                  </w:r>
                </w:p>
              </w:tc>
              <w:tc>
                <w:tcPr>
                  <w:tcW w:w="7786" w:type="dxa"/>
                </w:tcPr>
                <w:p w14:paraId="27188D99" w14:textId="3C1FD4F1" w:rsidR="00AC5568" w:rsidRPr="00324AA0" w:rsidRDefault="00AC5568" w:rsidP="00AC5568">
                  <w:pPr>
                    <w:jc w:val="both"/>
                    <w:rPr>
                      <w:sz w:val="20"/>
                      <w:szCs w:val="20"/>
                      <w:lang w:val="en-US"/>
                    </w:rPr>
                  </w:pPr>
                  <w:r w:rsidRPr="00324AA0">
                    <w:rPr>
                      <w:sz w:val="20"/>
                      <w:szCs w:val="20"/>
                      <w:lang w:val="en-US"/>
                    </w:rPr>
                    <w:t>An Assessment of the Parameters of Turkish Foreign Policy after the Cold War</w:t>
                  </w:r>
                </w:p>
              </w:tc>
            </w:tr>
            <w:tr w:rsidR="00AC5568" w:rsidRPr="002E6734" w14:paraId="668D5AA6" w14:textId="77777777" w:rsidTr="00651F0F">
              <w:tc>
                <w:tcPr>
                  <w:tcW w:w="1024" w:type="dxa"/>
                </w:tcPr>
                <w:p w14:paraId="476E55CD" w14:textId="4E5A4658" w:rsidR="00AC5568" w:rsidRPr="002E6734" w:rsidRDefault="00AC5568" w:rsidP="00AC5568">
                  <w:pPr>
                    <w:jc w:val="both"/>
                    <w:rPr>
                      <w:lang w:val="en-US"/>
                    </w:rPr>
                  </w:pPr>
                  <w:r w:rsidRPr="002E6734">
                    <w:rPr>
                      <w:sz w:val="20"/>
                      <w:szCs w:val="20"/>
                      <w:lang w:val="en-US"/>
                    </w:rPr>
                    <w:t>5. Week</w:t>
                  </w:r>
                </w:p>
              </w:tc>
              <w:tc>
                <w:tcPr>
                  <w:tcW w:w="7786" w:type="dxa"/>
                </w:tcPr>
                <w:p w14:paraId="6EDE7076" w14:textId="2C38F9F8" w:rsidR="00AC5568" w:rsidRPr="00324AA0" w:rsidRDefault="00AC5568" w:rsidP="00AC5568">
                  <w:pPr>
                    <w:jc w:val="both"/>
                    <w:rPr>
                      <w:sz w:val="20"/>
                      <w:szCs w:val="20"/>
                      <w:lang w:val="en-US"/>
                    </w:rPr>
                  </w:pPr>
                  <w:r w:rsidRPr="00324AA0">
                    <w:rPr>
                      <w:sz w:val="20"/>
                      <w:szCs w:val="20"/>
                      <w:lang w:val="en-US"/>
                    </w:rPr>
                    <w:t>Türkiye and the Global Actors after the Cold War: Türkiye’s Relations with the US and the EU and Russia</w:t>
                  </w:r>
                </w:p>
              </w:tc>
            </w:tr>
            <w:tr w:rsidR="00AC5568" w:rsidRPr="002E6734" w14:paraId="3A75AAFD" w14:textId="77777777" w:rsidTr="00651F0F">
              <w:tc>
                <w:tcPr>
                  <w:tcW w:w="1024" w:type="dxa"/>
                </w:tcPr>
                <w:p w14:paraId="57DB6ED7" w14:textId="360D2BCB" w:rsidR="00AC5568" w:rsidRPr="002E6734" w:rsidRDefault="00AC5568" w:rsidP="00AC5568">
                  <w:pPr>
                    <w:jc w:val="both"/>
                    <w:rPr>
                      <w:lang w:val="en-US"/>
                    </w:rPr>
                  </w:pPr>
                  <w:r w:rsidRPr="002E6734">
                    <w:rPr>
                      <w:sz w:val="20"/>
                      <w:szCs w:val="20"/>
                      <w:lang w:val="en-US"/>
                    </w:rPr>
                    <w:t>6. Week</w:t>
                  </w:r>
                </w:p>
              </w:tc>
              <w:tc>
                <w:tcPr>
                  <w:tcW w:w="7786" w:type="dxa"/>
                </w:tcPr>
                <w:p w14:paraId="18381476" w14:textId="20DA5F76" w:rsidR="00AC5568" w:rsidRPr="00AC5568" w:rsidRDefault="00AC5568" w:rsidP="00AC5568">
                  <w:pPr>
                    <w:jc w:val="both"/>
                    <w:rPr>
                      <w:sz w:val="20"/>
                      <w:szCs w:val="20"/>
                      <w:lang w:val="en-US"/>
                    </w:rPr>
                  </w:pPr>
                  <w:r w:rsidRPr="00324AA0">
                    <w:rPr>
                      <w:sz w:val="20"/>
                      <w:szCs w:val="20"/>
                      <w:lang w:val="en-US"/>
                    </w:rPr>
                    <w:t>Türkiye’s Regional Politics in the 1990s</w:t>
                  </w:r>
                </w:p>
              </w:tc>
            </w:tr>
            <w:tr w:rsidR="00AC5568" w:rsidRPr="002E6734" w14:paraId="6B71A7E3" w14:textId="77777777" w:rsidTr="00651F0F">
              <w:tc>
                <w:tcPr>
                  <w:tcW w:w="1024" w:type="dxa"/>
                </w:tcPr>
                <w:p w14:paraId="4F2D879F" w14:textId="23D8E40C" w:rsidR="00AC5568" w:rsidRPr="002E6734" w:rsidRDefault="00AC5568" w:rsidP="00AC5568">
                  <w:pPr>
                    <w:jc w:val="both"/>
                    <w:rPr>
                      <w:lang w:val="en-US"/>
                    </w:rPr>
                  </w:pPr>
                  <w:r w:rsidRPr="002E6734">
                    <w:rPr>
                      <w:sz w:val="20"/>
                      <w:szCs w:val="20"/>
                      <w:lang w:val="en-US"/>
                    </w:rPr>
                    <w:t>7. Week</w:t>
                  </w:r>
                </w:p>
              </w:tc>
              <w:tc>
                <w:tcPr>
                  <w:tcW w:w="7786" w:type="dxa"/>
                </w:tcPr>
                <w:p w14:paraId="20B8C531" w14:textId="5EA928C4" w:rsidR="00AC5568" w:rsidRPr="00AC5568" w:rsidRDefault="00AC5568" w:rsidP="00AC5568">
                  <w:pPr>
                    <w:jc w:val="both"/>
                    <w:rPr>
                      <w:sz w:val="20"/>
                      <w:szCs w:val="20"/>
                      <w:lang w:val="en-US"/>
                    </w:rPr>
                  </w:pPr>
                  <w:r w:rsidRPr="00AC5568">
                    <w:rPr>
                      <w:sz w:val="20"/>
                      <w:szCs w:val="20"/>
                      <w:lang w:val="en-US"/>
                    </w:rPr>
                    <w:t>Refah-Yol Government’s Foreign Policy as Paradigm Shift in Turkish Foreign Policy in the 1990s</w:t>
                  </w:r>
                </w:p>
              </w:tc>
            </w:tr>
            <w:tr w:rsidR="00AC5568" w:rsidRPr="002E6734" w14:paraId="5339304A" w14:textId="77777777" w:rsidTr="00651F0F">
              <w:tc>
                <w:tcPr>
                  <w:tcW w:w="1024" w:type="dxa"/>
                </w:tcPr>
                <w:p w14:paraId="0242AD6C" w14:textId="79207C72" w:rsidR="00AC5568" w:rsidRPr="002E6734" w:rsidRDefault="00AC5568" w:rsidP="00AC5568">
                  <w:pPr>
                    <w:jc w:val="both"/>
                    <w:rPr>
                      <w:lang w:val="en-US"/>
                    </w:rPr>
                  </w:pPr>
                  <w:r w:rsidRPr="002E6734">
                    <w:rPr>
                      <w:sz w:val="20"/>
                      <w:szCs w:val="20"/>
                      <w:lang w:val="en-US"/>
                    </w:rPr>
                    <w:t>8. Week</w:t>
                  </w:r>
                </w:p>
              </w:tc>
              <w:tc>
                <w:tcPr>
                  <w:tcW w:w="7786" w:type="dxa"/>
                </w:tcPr>
                <w:p w14:paraId="5303C8BF" w14:textId="5222B125" w:rsidR="00AC5568" w:rsidRPr="002E6734" w:rsidRDefault="00AC5568" w:rsidP="00AC5568">
                  <w:pPr>
                    <w:jc w:val="both"/>
                    <w:rPr>
                      <w:lang w:val="en-US"/>
                    </w:rPr>
                  </w:pPr>
                  <w:r w:rsidRPr="002E6734">
                    <w:rPr>
                      <w:sz w:val="20"/>
                      <w:szCs w:val="20"/>
                      <w:lang w:val="en-US"/>
                    </w:rPr>
                    <w:t>Midterm Week</w:t>
                  </w:r>
                </w:p>
              </w:tc>
            </w:tr>
            <w:tr w:rsidR="00AC5568" w:rsidRPr="002E6734" w14:paraId="086A26ED" w14:textId="77777777" w:rsidTr="00651F0F">
              <w:tc>
                <w:tcPr>
                  <w:tcW w:w="1024" w:type="dxa"/>
                </w:tcPr>
                <w:p w14:paraId="53FE5CC0" w14:textId="02B6E4C2" w:rsidR="00AC5568" w:rsidRPr="002E6734" w:rsidRDefault="00AC5568" w:rsidP="00AC5568">
                  <w:pPr>
                    <w:jc w:val="both"/>
                    <w:rPr>
                      <w:lang w:val="en-US"/>
                    </w:rPr>
                  </w:pPr>
                  <w:r w:rsidRPr="002E6734">
                    <w:rPr>
                      <w:sz w:val="20"/>
                      <w:szCs w:val="20"/>
                      <w:lang w:val="en-US"/>
                    </w:rPr>
                    <w:t>9. Week</w:t>
                  </w:r>
                </w:p>
              </w:tc>
              <w:tc>
                <w:tcPr>
                  <w:tcW w:w="7786" w:type="dxa"/>
                </w:tcPr>
                <w:p w14:paraId="603911BB" w14:textId="248BD5DE" w:rsidR="00AC5568" w:rsidRPr="00AC5568" w:rsidRDefault="00AC5568" w:rsidP="00AC5568">
                  <w:pPr>
                    <w:jc w:val="both"/>
                    <w:rPr>
                      <w:sz w:val="20"/>
                      <w:szCs w:val="20"/>
                      <w:lang w:val="en-US"/>
                    </w:rPr>
                  </w:pPr>
                  <w:r w:rsidRPr="00AC5568">
                    <w:rPr>
                      <w:sz w:val="20"/>
                      <w:szCs w:val="20"/>
                      <w:lang w:val="en-US"/>
                    </w:rPr>
                    <w:t>A New Foreign Policy Paradigm: Main Parameters of Turkish Foreign Policy in the AK Party Era</w:t>
                  </w:r>
                </w:p>
              </w:tc>
            </w:tr>
            <w:tr w:rsidR="00AC5568" w:rsidRPr="002E6734" w14:paraId="2875823C" w14:textId="77777777" w:rsidTr="00651F0F">
              <w:tc>
                <w:tcPr>
                  <w:tcW w:w="1024" w:type="dxa"/>
                </w:tcPr>
                <w:p w14:paraId="6B640C77" w14:textId="6FF93DC7" w:rsidR="00AC5568" w:rsidRPr="002E6734" w:rsidRDefault="00AC5568" w:rsidP="00AC5568">
                  <w:pPr>
                    <w:jc w:val="both"/>
                    <w:rPr>
                      <w:lang w:val="en-US"/>
                    </w:rPr>
                  </w:pPr>
                  <w:r w:rsidRPr="002E6734">
                    <w:rPr>
                      <w:sz w:val="20"/>
                      <w:szCs w:val="20"/>
                      <w:lang w:val="en-US"/>
                    </w:rPr>
                    <w:t>10. Week</w:t>
                  </w:r>
                </w:p>
              </w:tc>
              <w:tc>
                <w:tcPr>
                  <w:tcW w:w="7786" w:type="dxa"/>
                </w:tcPr>
                <w:p w14:paraId="783F1E2C" w14:textId="23986903" w:rsidR="00AC5568" w:rsidRPr="00AC5568" w:rsidRDefault="00AC5568" w:rsidP="00AC5568">
                  <w:pPr>
                    <w:jc w:val="both"/>
                    <w:rPr>
                      <w:sz w:val="20"/>
                      <w:szCs w:val="20"/>
                      <w:lang w:val="en-US"/>
                    </w:rPr>
                  </w:pPr>
                  <w:r w:rsidRPr="00AC5568">
                    <w:rPr>
                      <w:sz w:val="20"/>
                      <w:szCs w:val="20"/>
                      <w:lang w:val="en-US"/>
                    </w:rPr>
                    <w:t>Türkiye’s Relations with the Global Actors in the AK Party Era: the US, the EU and Russia</w:t>
                  </w:r>
                </w:p>
              </w:tc>
            </w:tr>
            <w:tr w:rsidR="00AC5568" w:rsidRPr="002E6734" w14:paraId="4CFD8761" w14:textId="77777777" w:rsidTr="00651F0F">
              <w:tc>
                <w:tcPr>
                  <w:tcW w:w="1024" w:type="dxa"/>
                </w:tcPr>
                <w:p w14:paraId="3F120233" w14:textId="4457AB86" w:rsidR="00AC5568" w:rsidRPr="002E6734" w:rsidRDefault="00AC5568" w:rsidP="00AC5568">
                  <w:pPr>
                    <w:jc w:val="both"/>
                    <w:rPr>
                      <w:lang w:val="en-US"/>
                    </w:rPr>
                  </w:pPr>
                  <w:r w:rsidRPr="002E6734">
                    <w:rPr>
                      <w:sz w:val="20"/>
                      <w:szCs w:val="20"/>
                      <w:lang w:val="en-US"/>
                    </w:rPr>
                    <w:t>11. Week</w:t>
                  </w:r>
                </w:p>
              </w:tc>
              <w:tc>
                <w:tcPr>
                  <w:tcW w:w="7786" w:type="dxa"/>
                </w:tcPr>
                <w:p w14:paraId="30EB4687" w14:textId="27CF092E" w:rsidR="00AC5568" w:rsidRPr="00AC5568" w:rsidRDefault="00AC5568" w:rsidP="00AC5568">
                  <w:pPr>
                    <w:jc w:val="both"/>
                    <w:rPr>
                      <w:sz w:val="20"/>
                      <w:szCs w:val="20"/>
                      <w:lang w:val="en-US"/>
                    </w:rPr>
                  </w:pPr>
                  <w:r w:rsidRPr="00AC5568">
                    <w:rPr>
                      <w:sz w:val="20"/>
                      <w:szCs w:val="20"/>
                      <w:lang w:val="en-US"/>
                    </w:rPr>
                    <w:t>Türkiye’s Foreign Policy towards the Middle East and the Wider World</w:t>
                  </w:r>
                </w:p>
              </w:tc>
            </w:tr>
            <w:tr w:rsidR="00AC5568" w:rsidRPr="002E6734" w14:paraId="238A262F" w14:textId="77777777" w:rsidTr="00651F0F">
              <w:tc>
                <w:tcPr>
                  <w:tcW w:w="1024" w:type="dxa"/>
                </w:tcPr>
                <w:p w14:paraId="353F6204" w14:textId="51E6C8D2" w:rsidR="00AC5568" w:rsidRPr="002E6734" w:rsidRDefault="00AC5568" w:rsidP="00AC5568">
                  <w:pPr>
                    <w:jc w:val="both"/>
                    <w:rPr>
                      <w:lang w:val="en-US"/>
                    </w:rPr>
                  </w:pPr>
                  <w:r w:rsidRPr="002E6734">
                    <w:rPr>
                      <w:sz w:val="20"/>
                      <w:szCs w:val="20"/>
                      <w:lang w:val="en-US"/>
                    </w:rPr>
                    <w:t>12. Week</w:t>
                  </w:r>
                </w:p>
              </w:tc>
              <w:tc>
                <w:tcPr>
                  <w:tcW w:w="7786" w:type="dxa"/>
                </w:tcPr>
                <w:p w14:paraId="5B9FFBC2" w14:textId="4C9FF2EA" w:rsidR="00AC5568" w:rsidRPr="00AC5568" w:rsidRDefault="00AC5568" w:rsidP="00AC5568">
                  <w:pPr>
                    <w:jc w:val="both"/>
                    <w:rPr>
                      <w:sz w:val="20"/>
                      <w:szCs w:val="20"/>
                      <w:lang w:val="en-US"/>
                    </w:rPr>
                  </w:pPr>
                  <w:r w:rsidRPr="00AC5568">
                    <w:rPr>
                      <w:sz w:val="20"/>
                      <w:szCs w:val="20"/>
                      <w:lang w:val="en-US"/>
                    </w:rPr>
                    <w:t xml:space="preserve">Turkish Foreign Policy during the Arab Uprisings Process </w:t>
                  </w:r>
                </w:p>
              </w:tc>
            </w:tr>
            <w:tr w:rsidR="00AC5568" w:rsidRPr="002E6734" w14:paraId="1B337996" w14:textId="77777777" w:rsidTr="00651F0F">
              <w:tc>
                <w:tcPr>
                  <w:tcW w:w="1024" w:type="dxa"/>
                </w:tcPr>
                <w:p w14:paraId="05E79159" w14:textId="796E7069" w:rsidR="00AC5568" w:rsidRPr="002E6734" w:rsidRDefault="00AC5568" w:rsidP="00AC5568">
                  <w:pPr>
                    <w:jc w:val="both"/>
                    <w:rPr>
                      <w:lang w:val="en-US"/>
                    </w:rPr>
                  </w:pPr>
                  <w:r w:rsidRPr="002E6734">
                    <w:rPr>
                      <w:sz w:val="20"/>
                      <w:szCs w:val="20"/>
                      <w:lang w:val="en-US"/>
                    </w:rPr>
                    <w:t>13. Week</w:t>
                  </w:r>
                </w:p>
              </w:tc>
              <w:tc>
                <w:tcPr>
                  <w:tcW w:w="7786" w:type="dxa"/>
                </w:tcPr>
                <w:p w14:paraId="2F36E69B" w14:textId="77777777" w:rsidR="00AC5568" w:rsidRPr="00AC5568" w:rsidRDefault="00AC5568" w:rsidP="00AC5568">
                  <w:pPr>
                    <w:ind w:left="70" w:right="189"/>
                    <w:rPr>
                      <w:sz w:val="20"/>
                      <w:szCs w:val="20"/>
                      <w:lang w:val="en-US"/>
                    </w:rPr>
                  </w:pPr>
                  <w:r w:rsidRPr="00AC5568">
                    <w:rPr>
                      <w:sz w:val="20"/>
                      <w:szCs w:val="20"/>
                      <w:lang w:val="en-US"/>
                    </w:rPr>
                    <w:t>Turkish Foreign Policy in the Century of Türkiye</w:t>
                  </w:r>
                </w:p>
                <w:p w14:paraId="1FBFC69F" w14:textId="77777777" w:rsidR="00AC5568" w:rsidRPr="00AC5568" w:rsidRDefault="00AC5568" w:rsidP="00AC5568">
                  <w:pPr>
                    <w:jc w:val="both"/>
                    <w:rPr>
                      <w:sz w:val="20"/>
                      <w:szCs w:val="20"/>
                      <w:lang w:val="en-US"/>
                    </w:rPr>
                  </w:pPr>
                </w:p>
              </w:tc>
            </w:tr>
            <w:tr w:rsidR="00AC5568" w:rsidRPr="002E6734" w14:paraId="4E57598D" w14:textId="77777777" w:rsidTr="00651F0F">
              <w:tc>
                <w:tcPr>
                  <w:tcW w:w="1024" w:type="dxa"/>
                </w:tcPr>
                <w:p w14:paraId="20CC2F55" w14:textId="292320B8" w:rsidR="00AC5568" w:rsidRPr="002E6734" w:rsidRDefault="00AC5568" w:rsidP="00AC5568">
                  <w:pPr>
                    <w:jc w:val="both"/>
                    <w:rPr>
                      <w:lang w:val="en-US"/>
                    </w:rPr>
                  </w:pPr>
                  <w:r w:rsidRPr="002E6734">
                    <w:rPr>
                      <w:sz w:val="20"/>
                      <w:szCs w:val="20"/>
                      <w:lang w:val="en-US"/>
                    </w:rPr>
                    <w:t>14. Week</w:t>
                  </w:r>
                </w:p>
              </w:tc>
              <w:tc>
                <w:tcPr>
                  <w:tcW w:w="7786" w:type="dxa"/>
                </w:tcPr>
                <w:p w14:paraId="5440A06D" w14:textId="68399BDA" w:rsidR="00AC5568" w:rsidRPr="00AC5568" w:rsidRDefault="00AC5568" w:rsidP="00AC5568">
                  <w:pPr>
                    <w:jc w:val="both"/>
                    <w:rPr>
                      <w:sz w:val="20"/>
                      <w:szCs w:val="20"/>
                      <w:lang w:val="en-US"/>
                    </w:rPr>
                  </w:pPr>
                  <w:r w:rsidRPr="00AC5568">
                    <w:rPr>
                      <w:sz w:val="20"/>
                      <w:szCs w:val="20"/>
                      <w:lang w:val="en-US"/>
                    </w:rPr>
                    <w:t xml:space="preserve">Türkiye after Operation al-Aqsa Flood and the December 8 Revolution in Syria </w:t>
                  </w:r>
                </w:p>
              </w:tc>
            </w:tr>
            <w:tr w:rsidR="00AC5568" w:rsidRPr="002E6734" w14:paraId="0A7F942A" w14:textId="77777777" w:rsidTr="00651F0F">
              <w:tc>
                <w:tcPr>
                  <w:tcW w:w="1024" w:type="dxa"/>
                </w:tcPr>
                <w:p w14:paraId="08135BE7" w14:textId="107D7081" w:rsidR="00AC5568" w:rsidRPr="002E6734" w:rsidRDefault="00AC5568" w:rsidP="00AC5568">
                  <w:pPr>
                    <w:jc w:val="both"/>
                    <w:rPr>
                      <w:lang w:val="en-US"/>
                    </w:rPr>
                  </w:pPr>
                  <w:r w:rsidRPr="002E6734">
                    <w:rPr>
                      <w:sz w:val="20"/>
                      <w:szCs w:val="20"/>
                      <w:lang w:val="en-US"/>
                    </w:rPr>
                    <w:t>15. Week</w:t>
                  </w:r>
                </w:p>
              </w:tc>
              <w:tc>
                <w:tcPr>
                  <w:tcW w:w="7786" w:type="dxa"/>
                </w:tcPr>
                <w:p w14:paraId="69B9730C" w14:textId="50010728" w:rsidR="00AC5568" w:rsidRPr="00AC5568" w:rsidRDefault="00AC5568" w:rsidP="00AC5568">
                  <w:pPr>
                    <w:jc w:val="both"/>
                    <w:rPr>
                      <w:sz w:val="20"/>
                      <w:szCs w:val="20"/>
                      <w:lang w:val="en-US"/>
                    </w:rPr>
                  </w:pPr>
                  <w:r w:rsidRPr="00AC5568">
                    <w:rPr>
                      <w:sz w:val="20"/>
                      <w:szCs w:val="20"/>
                      <w:lang w:val="en-US"/>
                    </w:rPr>
                    <w:t>Official Holiday</w:t>
                  </w:r>
                  <w:r>
                    <w:rPr>
                      <w:sz w:val="20"/>
                      <w:szCs w:val="20"/>
                      <w:lang w:val="en-US"/>
                    </w:rPr>
                    <w:t xml:space="preserve"> (National Youth and Sports Day)</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5540834B" w:rsidR="002E6734" w:rsidRPr="002E6734" w:rsidRDefault="00324AA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2FDCEA5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324AA0">
                    <w:rPr>
                      <w:rFonts w:ascii="Calibri" w:eastAsia="Times New Roman" w:hAnsi="Calibri" w:cs="Calibri"/>
                      <w:color w:val="3B3A36"/>
                      <w:sz w:val="20"/>
                      <w:szCs w:val="20"/>
                      <w:lang w:val="en-US" w:eastAsia="tr-TR"/>
                    </w:rPr>
                    <w:t xml:space="preserve"> 40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2760C9F3" w:rsidR="002E6734" w:rsidRPr="002E6734" w:rsidRDefault="002E6734" w:rsidP="002E6734">
                  <w:pPr>
                    <w:rPr>
                      <w:rFonts w:ascii="Calibri" w:hAnsi="Calibri" w:cs="Calibri"/>
                      <w:sz w:val="20"/>
                      <w:szCs w:val="20"/>
                      <w:lang w:val="en-US"/>
                    </w:rPr>
                  </w:pPr>
                </w:p>
              </w:tc>
              <w:tc>
                <w:tcPr>
                  <w:tcW w:w="3020" w:type="dxa"/>
                </w:tcPr>
                <w:p w14:paraId="4618C465" w14:textId="49235AAB"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97B576F" w:rsidR="002E6734" w:rsidRPr="002E6734" w:rsidRDefault="002E6734" w:rsidP="002E6734">
                  <w:pPr>
                    <w:rPr>
                      <w:rFonts w:ascii="Calibri" w:hAnsi="Calibri" w:cs="Calibri"/>
                      <w:sz w:val="20"/>
                      <w:szCs w:val="20"/>
                      <w:lang w:val="en-US"/>
                    </w:rPr>
                  </w:pPr>
                </w:p>
              </w:tc>
              <w:tc>
                <w:tcPr>
                  <w:tcW w:w="3020" w:type="dxa"/>
                </w:tcPr>
                <w:p w14:paraId="6DAE8E9F" w14:textId="61F0380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26F9AB3D" w:rsidR="002E6734" w:rsidRPr="002E6734" w:rsidRDefault="00324AA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0C006287"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324AA0">
                    <w:rPr>
                      <w:rFonts w:ascii="Calibri" w:hAnsi="Calibri" w:cs="Calibri"/>
                      <w:sz w:val="20"/>
                      <w:szCs w:val="20"/>
                      <w:lang w:val="en-US"/>
                    </w:rPr>
                    <w:t xml:space="preserve"> 60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05D09436" w:rsidR="002E6734" w:rsidRPr="002E6734" w:rsidRDefault="00324AA0" w:rsidP="002E6734">
                  <w:pPr>
                    <w:rPr>
                      <w:rFonts w:ascii="Calibri" w:hAnsi="Calibri" w:cs="Calibri"/>
                      <w:b/>
                      <w:bCs/>
                      <w:sz w:val="20"/>
                      <w:szCs w:val="20"/>
                      <w:lang w:val="en-US"/>
                    </w:rPr>
                  </w:pPr>
                  <w:r>
                    <w:rPr>
                      <w:rFonts w:ascii="Calibri" w:hAnsi="Calibri" w:cs="Calibri"/>
                      <w:b/>
                      <w:bCs/>
                      <w:sz w:val="20"/>
                      <w:szCs w:val="20"/>
                      <w:lang w:val="en-US"/>
                    </w:rPr>
                    <w:t>2</w:t>
                  </w: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If you have a documented disability (e.g., visual, hearing, or physical impairment, etc.) that may influence your performance in this course, it is recommended to meet with the Engelsiz AYBU (</w:t>
            </w:r>
            <w:hyperlink r:id="rId5"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76141"/>
    <w:rsid w:val="001B4555"/>
    <w:rsid w:val="002B2984"/>
    <w:rsid w:val="002B4B83"/>
    <w:rsid w:val="002D613C"/>
    <w:rsid w:val="002E6734"/>
    <w:rsid w:val="00305F76"/>
    <w:rsid w:val="00311158"/>
    <w:rsid w:val="00324AA0"/>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47A93"/>
    <w:rsid w:val="009C04C6"/>
    <w:rsid w:val="009D039A"/>
    <w:rsid w:val="00A27A75"/>
    <w:rsid w:val="00A62A20"/>
    <w:rsid w:val="00A85300"/>
    <w:rsid w:val="00AC5568"/>
    <w:rsid w:val="00AE7B0A"/>
    <w:rsid w:val="00AF3427"/>
    <w:rsid w:val="00B76BB2"/>
    <w:rsid w:val="00BB53D6"/>
    <w:rsid w:val="00BC180B"/>
    <w:rsid w:val="00BF3EFD"/>
    <w:rsid w:val="00C0698A"/>
    <w:rsid w:val="00C63DB9"/>
    <w:rsid w:val="00CC3B7A"/>
    <w:rsid w:val="00CC7DF4"/>
    <w:rsid w:val="00D26E72"/>
    <w:rsid w:val="00DB2A49"/>
    <w:rsid w:val="00DD6DCD"/>
    <w:rsid w:val="00E325D4"/>
    <w:rsid w:val="00E812C2"/>
    <w:rsid w:val="00EB0594"/>
    <w:rsid w:val="00EE3856"/>
    <w:rsid w:val="00EF389B"/>
    <w:rsid w:val="00F259CA"/>
    <w:rsid w:val="00F834AE"/>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728</Words>
  <Characters>4153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Admin</cp:lastModifiedBy>
  <cp:revision>4</cp:revision>
  <dcterms:created xsi:type="dcterms:W3CDTF">2025-10-16T12:40:00Z</dcterms:created>
  <dcterms:modified xsi:type="dcterms:W3CDTF">2026-03-30T18:36:00Z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6168f88b-441f-4fa8-be3e-513d184dad81</vt:lpwstr>
  </property>
</Properties>
</file>