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8063BF" w14:paraId="11037259" w14:textId="77777777" w:rsidTr="002E6734">
        <w:trPr>
          <w:trHeight w:val="830"/>
        </w:trPr>
        <w:tc>
          <w:tcPr>
            <w:tcW w:w="10357" w:type="dxa"/>
            <w:gridSpan w:val="6"/>
            <w:vAlign w:val="center"/>
          </w:tcPr>
          <w:p w14:paraId="608E7C78" w14:textId="588FCE98" w:rsidR="00630C60" w:rsidRPr="008063BF" w:rsidRDefault="00871F5E" w:rsidP="00736CCA">
            <w:pPr>
              <w:pStyle w:val="TableParagraph"/>
              <w:spacing w:before="198"/>
              <w:ind w:left="18"/>
              <w:jc w:val="center"/>
              <w:rPr>
                <w:b/>
                <w:sz w:val="20"/>
                <w:szCs w:val="20"/>
              </w:rPr>
            </w:pPr>
            <w:r w:rsidRPr="008063BF">
              <w:rPr>
                <w:b/>
                <w:sz w:val="20"/>
                <w:szCs w:val="20"/>
              </w:rPr>
              <w:t>ANKARA YILDIRIM BEYAZIT</w:t>
            </w:r>
            <w:r w:rsidRPr="008063BF">
              <w:rPr>
                <w:b/>
                <w:spacing w:val="-7"/>
                <w:sz w:val="20"/>
                <w:szCs w:val="20"/>
              </w:rPr>
              <w:t xml:space="preserve"> </w:t>
            </w:r>
            <w:r w:rsidR="00FD469B" w:rsidRPr="008063BF">
              <w:rPr>
                <w:b/>
                <w:sz w:val="20"/>
                <w:szCs w:val="20"/>
              </w:rPr>
              <w:t>UNIVERSITY</w:t>
            </w:r>
            <w:r w:rsidRPr="008063BF">
              <w:rPr>
                <w:b/>
                <w:spacing w:val="-7"/>
                <w:sz w:val="20"/>
                <w:szCs w:val="20"/>
              </w:rPr>
              <w:t xml:space="preserve"> </w:t>
            </w:r>
            <w:r w:rsidRPr="008063BF">
              <w:rPr>
                <w:b/>
                <w:sz w:val="20"/>
                <w:szCs w:val="20"/>
              </w:rPr>
              <w:t>–</w:t>
            </w:r>
            <w:r w:rsidRPr="008063BF">
              <w:rPr>
                <w:b/>
                <w:spacing w:val="-7"/>
                <w:sz w:val="20"/>
                <w:szCs w:val="20"/>
              </w:rPr>
              <w:t xml:space="preserve"> </w:t>
            </w:r>
            <w:r w:rsidR="00FD469B" w:rsidRPr="008063BF">
              <w:rPr>
                <w:b/>
                <w:spacing w:val="-7"/>
                <w:sz w:val="20"/>
                <w:szCs w:val="20"/>
              </w:rPr>
              <w:t xml:space="preserve">DEPARTMENT OF </w:t>
            </w:r>
            <w:r w:rsidR="001D7BB4" w:rsidRPr="008063BF">
              <w:rPr>
                <w:b/>
                <w:sz w:val="20"/>
                <w:szCs w:val="20"/>
              </w:rPr>
              <w:t>INTERNATIONAL RELATIONS</w:t>
            </w:r>
          </w:p>
          <w:p w14:paraId="5549F331" w14:textId="0BAEC035" w:rsidR="00630C60" w:rsidRPr="008063BF" w:rsidRDefault="00FD469B" w:rsidP="00736CCA">
            <w:pPr>
              <w:pStyle w:val="TableParagraph"/>
              <w:spacing w:before="1"/>
              <w:ind w:left="18" w:right="1"/>
              <w:jc w:val="center"/>
              <w:rPr>
                <w:b/>
                <w:sz w:val="20"/>
                <w:szCs w:val="20"/>
              </w:rPr>
            </w:pPr>
            <w:r w:rsidRPr="008063BF">
              <w:rPr>
                <w:b/>
                <w:sz w:val="20"/>
                <w:szCs w:val="20"/>
              </w:rPr>
              <w:t>COURSE SYLLABUS</w:t>
            </w:r>
          </w:p>
        </w:tc>
      </w:tr>
      <w:tr w:rsidR="00E325D4" w:rsidRPr="008063BF" w14:paraId="728F7F3E" w14:textId="77777777" w:rsidTr="002E6734">
        <w:trPr>
          <w:trHeight w:val="830"/>
        </w:trPr>
        <w:tc>
          <w:tcPr>
            <w:tcW w:w="1522" w:type="dxa"/>
            <w:vAlign w:val="center"/>
          </w:tcPr>
          <w:p w14:paraId="48E09AD3" w14:textId="780882B2" w:rsidR="00E325D4" w:rsidRPr="008063BF" w:rsidRDefault="00E325D4" w:rsidP="00416BD3">
            <w:pPr>
              <w:pStyle w:val="TableParagraph"/>
              <w:ind w:right="48"/>
              <w:jc w:val="center"/>
              <w:rPr>
                <w:b/>
                <w:sz w:val="20"/>
                <w:szCs w:val="20"/>
              </w:rPr>
            </w:pPr>
            <w:r w:rsidRPr="008063BF">
              <w:rPr>
                <w:b/>
                <w:sz w:val="20"/>
                <w:szCs w:val="20"/>
              </w:rPr>
              <w:t>Course Code</w:t>
            </w:r>
          </w:p>
        </w:tc>
        <w:tc>
          <w:tcPr>
            <w:tcW w:w="2589" w:type="dxa"/>
            <w:vAlign w:val="center"/>
          </w:tcPr>
          <w:p w14:paraId="036D1D99" w14:textId="3DC77F27" w:rsidR="00E325D4" w:rsidRPr="008063BF" w:rsidRDefault="00E325D4" w:rsidP="00416BD3">
            <w:pPr>
              <w:pStyle w:val="TableParagraph"/>
              <w:ind w:right="2"/>
              <w:jc w:val="center"/>
              <w:rPr>
                <w:b/>
                <w:sz w:val="20"/>
                <w:szCs w:val="20"/>
              </w:rPr>
            </w:pPr>
            <w:r w:rsidRPr="008063BF">
              <w:rPr>
                <w:b/>
                <w:sz w:val="20"/>
                <w:szCs w:val="20"/>
              </w:rPr>
              <w:t>Course Title</w:t>
            </w:r>
          </w:p>
        </w:tc>
        <w:tc>
          <w:tcPr>
            <w:tcW w:w="1276" w:type="dxa"/>
            <w:vAlign w:val="center"/>
          </w:tcPr>
          <w:p w14:paraId="2196E329" w14:textId="684F789C" w:rsidR="00E325D4" w:rsidRPr="008063BF" w:rsidRDefault="00E325D4" w:rsidP="00416BD3">
            <w:pPr>
              <w:pStyle w:val="TableParagraph"/>
              <w:ind w:right="1"/>
              <w:jc w:val="center"/>
              <w:rPr>
                <w:b/>
                <w:sz w:val="20"/>
                <w:szCs w:val="20"/>
              </w:rPr>
            </w:pPr>
            <w:r w:rsidRPr="008063BF">
              <w:rPr>
                <w:b/>
                <w:sz w:val="20"/>
                <w:szCs w:val="20"/>
              </w:rPr>
              <w:t>Course Type</w:t>
            </w:r>
          </w:p>
        </w:tc>
        <w:tc>
          <w:tcPr>
            <w:tcW w:w="992" w:type="dxa"/>
            <w:vAlign w:val="center"/>
          </w:tcPr>
          <w:p w14:paraId="60D8ECC0" w14:textId="48894C4D" w:rsidR="00E325D4" w:rsidRPr="008063BF" w:rsidRDefault="00E325D4" w:rsidP="0083209D">
            <w:pPr>
              <w:jc w:val="center"/>
              <w:rPr>
                <w:rFonts w:ascii="Carlito" w:hAnsi="Carlito"/>
                <w:sz w:val="20"/>
                <w:szCs w:val="20"/>
              </w:rPr>
            </w:pPr>
            <w:r w:rsidRPr="008063BF">
              <w:rPr>
                <w:rFonts w:ascii="Carlito" w:hAnsi="Carlito"/>
                <w:b/>
                <w:sz w:val="20"/>
                <w:szCs w:val="20"/>
              </w:rPr>
              <w:t>ECTS Credits</w:t>
            </w:r>
          </w:p>
        </w:tc>
        <w:tc>
          <w:tcPr>
            <w:tcW w:w="2126" w:type="dxa"/>
            <w:vAlign w:val="center"/>
          </w:tcPr>
          <w:p w14:paraId="7CFF5C2F" w14:textId="14179EE0" w:rsidR="00E325D4" w:rsidRPr="008063BF" w:rsidRDefault="00E325D4" w:rsidP="004270F5">
            <w:pPr>
              <w:pStyle w:val="TableParagraph"/>
              <w:spacing w:before="174"/>
              <w:ind w:right="146"/>
              <w:jc w:val="center"/>
              <w:rPr>
                <w:b/>
                <w:sz w:val="20"/>
                <w:szCs w:val="20"/>
              </w:rPr>
            </w:pPr>
            <w:r w:rsidRPr="008063BF">
              <w:rPr>
                <w:b/>
                <w:sz w:val="20"/>
                <w:szCs w:val="20"/>
              </w:rPr>
              <w:t>Prerequisite Information</w:t>
            </w:r>
          </w:p>
        </w:tc>
        <w:tc>
          <w:tcPr>
            <w:tcW w:w="1852" w:type="dxa"/>
            <w:vAlign w:val="center"/>
          </w:tcPr>
          <w:p w14:paraId="3BCE408F" w14:textId="4868DA56" w:rsidR="00E325D4" w:rsidRPr="008063BF" w:rsidRDefault="00E325D4" w:rsidP="00416BD3">
            <w:pPr>
              <w:pStyle w:val="TableParagraph"/>
              <w:spacing w:before="49"/>
              <w:ind w:right="271"/>
              <w:jc w:val="center"/>
              <w:rPr>
                <w:b/>
                <w:sz w:val="20"/>
                <w:szCs w:val="20"/>
              </w:rPr>
            </w:pPr>
            <w:r w:rsidRPr="008063BF">
              <w:rPr>
                <w:b/>
                <w:spacing w:val="-2"/>
                <w:sz w:val="20"/>
                <w:szCs w:val="20"/>
              </w:rPr>
              <w:t>Date of Preparation</w:t>
            </w:r>
          </w:p>
        </w:tc>
      </w:tr>
      <w:tr w:rsidR="00E325D4" w:rsidRPr="008063BF" w14:paraId="6D0BBC39" w14:textId="77777777" w:rsidTr="002E6734">
        <w:trPr>
          <w:trHeight w:val="734"/>
        </w:trPr>
        <w:tc>
          <w:tcPr>
            <w:tcW w:w="1522" w:type="dxa"/>
          </w:tcPr>
          <w:p w14:paraId="061170CD" w14:textId="77777777" w:rsidR="00E325D4" w:rsidRPr="008063BF" w:rsidRDefault="00E325D4" w:rsidP="00464A63">
            <w:pPr>
              <w:pStyle w:val="TableParagraph"/>
              <w:spacing w:before="16"/>
              <w:jc w:val="center"/>
              <w:rPr>
                <w:sz w:val="20"/>
                <w:szCs w:val="20"/>
              </w:rPr>
            </w:pPr>
          </w:p>
          <w:p w14:paraId="662124F0" w14:textId="627A3473" w:rsidR="00E325D4" w:rsidRPr="008063BF" w:rsidRDefault="00581636" w:rsidP="00464A63">
            <w:pPr>
              <w:pStyle w:val="TableParagraph"/>
              <w:ind w:left="62" w:right="47"/>
              <w:jc w:val="center"/>
              <w:rPr>
                <w:sz w:val="20"/>
                <w:szCs w:val="20"/>
              </w:rPr>
            </w:pPr>
            <w:r w:rsidRPr="008063BF">
              <w:rPr>
                <w:sz w:val="20"/>
                <w:szCs w:val="20"/>
              </w:rPr>
              <w:t>INRE203</w:t>
            </w:r>
          </w:p>
        </w:tc>
        <w:tc>
          <w:tcPr>
            <w:tcW w:w="2589" w:type="dxa"/>
          </w:tcPr>
          <w:p w14:paraId="2092FB6F" w14:textId="77777777" w:rsidR="00E325D4" w:rsidRPr="008063BF" w:rsidRDefault="00E325D4" w:rsidP="00464A63">
            <w:pPr>
              <w:pStyle w:val="TableParagraph"/>
              <w:spacing w:before="16"/>
              <w:jc w:val="center"/>
              <w:rPr>
                <w:sz w:val="20"/>
                <w:szCs w:val="20"/>
              </w:rPr>
            </w:pPr>
          </w:p>
          <w:p w14:paraId="41C4888C" w14:textId="1B3A29C1" w:rsidR="00E325D4" w:rsidRPr="008063BF" w:rsidRDefault="00581636" w:rsidP="00464A63">
            <w:pPr>
              <w:pStyle w:val="TableParagraph"/>
              <w:ind w:left="14"/>
              <w:jc w:val="center"/>
              <w:rPr>
                <w:sz w:val="20"/>
                <w:szCs w:val="20"/>
              </w:rPr>
            </w:pPr>
            <w:r w:rsidRPr="008063BF">
              <w:rPr>
                <w:sz w:val="20"/>
                <w:szCs w:val="20"/>
              </w:rPr>
              <w:t>International Law - II</w:t>
            </w:r>
          </w:p>
        </w:tc>
        <w:tc>
          <w:tcPr>
            <w:tcW w:w="1276" w:type="dxa"/>
            <w:vAlign w:val="center"/>
          </w:tcPr>
          <w:p w14:paraId="1CB4682D" w14:textId="41BAB423" w:rsidR="00E325D4" w:rsidRPr="008063BF" w:rsidRDefault="00E325D4" w:rsidP="00464A63">
            <w:pPr>
              <w:pStyle w:val="TableParagraph"/>
              <w:jc w:val="center"/>
              <w:rPr>
                <w:spacing w:val="-2"/>
                <w:sz w:val="20"/>
                <w:szCs w:val="20"/>
              </w:rPr>
            </w:pPr>
            <w:r w:rsidRPr="008063BF">
              <w:rPr>
                <w:spacing w:val="-2"/>
                <w:sz w:val="20"/>
                <w:szCs w:val="20"/>
              </w:rPr>
              <w:t>Compulsory/</w:t>
            </w:r>
          </w:p>
          <w:p w14:paraId="2EDFD95E" w14:textId="21BC7A1A" w:rsidR="00E325D4" w:rsidRPr="008063BF" w:rsidRDefault="00E325D4" w:rsidP="00464A63">
            <w:pPr>
              <w:pStyle w:val="TableParagraph"/>
              <w:ind w:left="4"/>
              <w:jc w:val="center"/>
              <w:rPr>
                <w:sz w:val="20"/>
                <w:szCs w:val="20"/>
              </w:rPr>
            </w:pPr>
            <w:r w:rsidRPr="008063BF">
              <w:rPr>
                <w:spacing w:val="-2"/>
                <w:sz w:val="20"/>
                <w:szCs w:val="20"/>
              </w:rPr>
              <w:t>Elective</w:t>
            </w:r>
          </w:p>
        </w:tc>
        <w:tc>
          <w:tcPr>
            <w:tcW w:w="992" w:type="dxa"/>
          </w:tcPr>
          <w:p w14:paraId="5CA2A5BE" w14:textId="77777777" w:rsidR="00E325D4" w:rsidRPr="008063BF" w:rsidRDefault="00E325D4" w:rsidP="00464A63">
            <w:pPr>
              <w:pStyle w:val="TableParagraph"/>
              <w:spacing w:before="16"/>
              <w:jc w:val="center"/>
              <w:rPr>
                <w:sz w:val="20"/>
                <w:szCs w:val="20"/>
              </w:rPr>
            </w:pPr>
          </w:p>
          <w:p w14:paraId="66BD4582" w14:textId="2160A1F7" w:rsidR="00E325D4" w:rsidRPr="008063BF" w:rsidRDefault="00581636" w:rsidP="00464A63">
            <w:pPr>
              <w:pStyle w:val="TableParagraph"/>
              <w:ind w:left="10"/>
              <w:jc w:val="center"/>
              <w:rPr>
                <w:sz w:val="20"/>
                <w:szCs w:val="20"/>
              </w:rPr>
            </w:pPr>
            <w:r w:rsidRPr="008063BF">
              <w:rPr>
                <w:sz w:val="20"/>
                <w:szCs w:val="20"/>
              </w:rPr>
              <w:t>5</w:t>
            </w:r>
          </w:p>
        </w:tc>
        <w:tc>
          <w:tcPr>
            <w:tcW w:w="2126" w:type="dxa"/>
          </w:tcPr>
          <w:p w14:paraId="0620841E" w14:textId="77777777" w:rsidR="00E325D4" w:rsidRPr="008063BF" w:rsidRDefault="00E325D4" w:rsidP="00464A63">
            <w:pPr>
              <w:pStyle w:val="TableParagraph"/>
              <w:spacing w:before="16"/>
              <w:jc w:val="center"/>
              <w:rPr>
                <w:sz w:val="20"/>
                <w:szCs w:val="20"/>
              </w:rPr>
            </w:pPr>
          </w:p>
          <w:p w14:paraId="287917FD" w14:textId="133233D6" w:rsidR="00E325D4" w:rsidRPr="008063BF" w:rsidRDefault="00581636" w:rsidP="00464A63">
            <w:pPr>
              <w:pStyle w:val="TableParagraph"/>
              <w:ind w:left="14"/>
              <w:jc w:val="center"/>
              <w:rPr>
                <w:sz w:val="20"/>
                <w:szCs w:val="20"/>
              </w:rPr>
            </w:pPr>
            <w:r w:rsidRPr="008063BF">
              <w:rPr>
                <w:sz w:val="20"/>
                <w:szCs w:val="20"/>
              </w:rPr>
              <w:t>-</w:t>
            </w:r>
          </w:p>
        </w:tc>
        <w:tc>
          <w:tcPr>
            <w:tcW w:w="1852" w:type="dxa"/>
            <w:vAlign w:val="center"/>
          </w:tcPr>
          <w:p w14:paraId="6E69D48B" w14:textId="5A093D16" w:rsidR="00E325D4" w:rsidRPr="008063BF" w:rsidRDefault="00581636" w:rsidP="00464A63">
            <w:pPr>
              <w:pStyle w:val="TableParagraph"/>
              <w:jc w:val="center"/>
              <w:rPr>
                <w:sz w:val="20"/>
                <w:szCs w:val="20"/>
              </w:rPr>
            </w:pPr>
            <w:r w:rsidRPr="008063BF">
              <w:rPr>
                <w:sz w:val="20"/>
                <w:szCs w:val="20"/>
              </w:rPr>
              <w:t>19.02.2026</w:t>
            </w:r>
          </w:p>
        </w:tc>
      </w:tr>
      <w:tr w:rsidR="00581636" w:rsidRPr="008063BF" w14:paraId="54DA54A5" w14:textId="77777777" w:rsidTr="002E6734">
        <w:trPr>
          <w:trHeight w:val="734"/>
        </w:trPr>
        <w:tc>
          <w:tcPr>
            <w:tcW w:w="1522" w:type="dxa"/>
            <w:vAlign w:val="center"/>
          </w:tcPr>
          <w:p w14:paraId="722DFFE9" w14:textId="78F3BFAB" w:rsidR="00581636" w:rsidRPr="008063BF" w:rsidRDefault="00581636" w:rsidP="00581636">
            <w:pPr>
              <w:pStyle w:val="TableParagraph"/>
              <w:spacing w:before="16"/>
              <w:jc w:val="center"/>
              <w:rPr>
                <w:b/>
                <w:sz w:val="20"/>
                <w:szCs w:val="20"/>
              </w:rPr>
            </w:pPr>
            <w:r w:rsidRPr="008063BF">
              <w:rPr>
                <w:b/>
                <w:sz w:val="20"/>
                <w:szCs w:val="20"/>
              </w:rPr>
              <w:t>Instructor of the Course &amp;</w:t>
            </w:r>
          </w:p>
          <w:p w14:paraId="60643D40" w14:textId="4BDCD6EC" w:rsidR="00581636" w:rsidRPr="008063BF" w:rsidRDefault="00581636" w:rsidP="00581636">
            <w:pPr>
              <w:pStyle w:val="TableParagraph"/>
              <w:spacing w:before="16"/>
              <w:jc w:val="center"/>
              <w:rPr>
                <w:sz w:val="20"/>
                <w:szCs w:val="20"/>
              </w:rPr>
            </w:pPr>
            <w:r w:rsidRPr="008063BF">
              <w:rPr>
                <w:b/>
                <w:sz w:val="20"/>
                <w:szCs w:val="20"/>
              </w:rPr>
              <w:t>E-Mail Address</w:t>
            </w:r>
          </w:p>
        </w:tc>
        <w:tc>
          <w:tcPr>
            <w:tcW w:w="8835" w:type="dxa"/>
            <w:gridSpan w:val="5"/>
            <w:vAlign w:val="center"/>
          </w:tcPr>
          <w:p w14:paraId="390A02BC" w14:textId="77777777" w:rsidR="00581636" w:rsidRPr="008063BF" w:rsidRDefault="00581636" w:rsidP="00581636">
            <w:pPr>
              <w:pStyle w:val="TableParagraph"/>
              <w:jc w:val="both"/>
              <w:rPr>
                <w:sz w:val="20"/>
                <w:szCs w:val="20"/>
              </w:rPr>
            </w:pPr>
            <w:r w:rsidRPr="008063BF">
              <w:rPr>
                <w:sz w:val="20"/>
                <w:szCs w:val="20"/>
              </w:rPr>
              <w:t xml:space="preserve"> Asst. Prof. Dr. Şahin Eray Kırdım </w:t>
            </w:r>
          </w:p>
          <w:p w14:paraId="1ABCB78D" w14:textId="5017A995" w:rsidR="00581636" w:rsidRPr="008063BF" w:rsidRDefault="00581636" w:rsidP="00581636">
            <w:pPr>
              <w:pStyle w:val="TableParagraph"/>
              <w:jc w:val="both"/>
              <w:rPr>
                <w:sz w:val="20"/>
                <w:szCs w:val="20"/>
              </w:rPr>
            </w:pPr>
            <w:r w:rsidRPr="008063BF">
              <w:rPr>
                <w:rFonts w:cs="Segoe UI Symbol"/>
                <w:sz w:val="20"/>
                <w:szCs w:val="20"/>
              </w:rPr>
              <w:t xml:space="preserve"> </w:t>
            </w:r>
            <w:r w:rsidRPr="008063BF">
              <w:rPr>
                <w:rFonts w:ascii="Segoe UI Symbol" w:hAnsi="Segoe UI Symbol" w:cs="Segoe UI Symbol"/>
                <w:sz w:val="20"/>
                <w:szCs w:val="20"/>
              </w:rPr>
              <w:t>✉</w:t>
            </w:r>
            <w:r w:rsidRPr="008063BF">
              <w:rPr>
                <w:sz w:val="20"/>
                <w:szCs w:val="20"/>
              </w:rPr>
              <w:t xml:space="preserve"> sahineraykirdim@aybu.edu.tr</w:t>
            </w:r>
          </w:p>
        </w:tc>
      </w:tr>
      <w:tr w:rsidR="00EF389B" w:rsidRPr="008063BF" w14:paraId="28BC61C3" w14:textId="77777777" w:rsidTr="002E6734">
        <w:trPr>
          <w:trHeight w:val="734"/>
        </w:trPr>
        <w:tc>
          <w:tcPr>
            <w:tcW w:w="1522" w:type="dxa"/>
            <w:vAlign w:val="center"/>
          </w:tcPr>
          <w:p w14:paraId="7A8E0DB2" w14:textId="2BBEEBBF" w:rsidR="00EF389B" w:rsidRPr="008063BF" w:rsidRDefault="00EF389B" w:rsidP="00EF389B">
            <w:pPr>
              <w:pStyle w:val="TableParagraph"/>
              <w:spacing w:before="16"/>
              <w:jc w:val="center"/>
              <w:rPr>
                <w:b/>
                <w:sz w:val="20"/>
                <w:szCs w:val="20"/>
              </w:rPr>
            </w:pPr>
            <w:r w:rsidRPr="008063BF">
              <w:rPr>
                <w:b/>
                <w:sz w:val="20"/>
                <w:szCs w:val="20"/>
              </w:rPr>
              <w:t>Office Hours &amp; Office Room</w:t>
            </w:r>
          </w:p>
        </w:tc>
        <w:tc>
          <w:tcPr>
            <w:tcW w:w="8835" w:type="dxa"/>
            <w:gridSpan w:val="5"/>
            <w:vAlign w:val="center"/>
          </w:tcPr>
          <w:p w14:paraId="788DAC06" w14:textId="77777777" w:rsidR="00581636" w:rsidRPr="008063BF" w:rsidRDefault="00581636" w:rsidP="00581636">
            <w:pPr>
              <w:pStyle w:val="TableParagraph"/>
              <w:jc w:val="both"/>
              <w:rPr>
                <w:sz w:val="20"/>
                <w:szCs w:val="20"/>
              </w:rPr>
            </w:pPr>
            <w:r w:rsidRPr="008063BF">
              <w:rPr>
                <w:sz w:val="20"/>
                <w:szCs w:val="20"/>
              </w:rPr>
              <w:t>Tuesday 08.00-09.00 &amp; 14.00-16.00</w:t>
            </w:r>
          </w:p>
          <w:p w14:paraId="36B06917" w14:textId="5996FE08" w:rsidR="00EF389B" w:rsidRPr="008063BF" w:rsidRDefault="00581636" w:rsidP="00581636">
            <w:pPr>
              <w:pStyle w:val="TableParagraph"/>
              <w:jc w:val="both"/>
              <w:rPr>
                <w:sz w:val="20"/>
                <w:szCs w:val="20"/>
              </w:rPr>
            </w:pPr>
            <w:r w:rsidRPr="008063BF">
              <w:rPr>
                <w:sz w:val="20"/>
                <w:szCs w:val="20"/>
              </w:rPr>
              <w:t>Office B-326</w:t>
            </w:r>
          </w:p>
        </w:tc>
      </w:tr>
      <w:tr w:rsidR="00EF389B" w:rsidRPr="008063BF" w14:paraId="3DE62795" w14:textId="77777777" w:rsidTr="002E6734">
        <w:trPr>
          <w:trHeight w:val="1079"/>
        </w:trPr>
        <w:tc>
          <w:tcPr>
            <w:tcW w:w="1522" w:type="dxa"/>
            <w:vAlign w:val="center"/>
          </w:tcPr>
          <w:p w14:paraId="2F2889E9" w14:textId="1BEE35C5" w:rsidR="00EF389B" w:rsidRPr="008063BF" w:rsidRDefault="00EF389B" w:rsidP="00EF389B">
            <w:pPr>
              <w:pStyle w:val="TableParagraph"/>
              <w:spacing w:line="235" w:lineRule="auto"/>
              <w:ind w:right="138"/>
              <w:jc w:val="center"/>
              <w:rPr>
                <w:b/>
                <w:sz w:val="20"/>
                <w:szCs w:val="20"/>
              </w:rPr>
            </w:pPr>
            <w:r w:rsidRPr="008063BF">
              <w:rPr>
                <w:b/>
                <w:sz w:val="20"/>
                <w:szCs w:val="20"/>
              </w:rPr>
              <w:t>Course Content and Objectives</w:t>
            </w:r>
          </w:p>
        </w:tc>
        <w:tc>
          <w:tcPr>
            <w:tcW w:w="8835" w:type="dxa"/>
            <w:gridSpan w:val="5"/>
            <w:vAlign w:val="center"/>
          </w:tcPr>
          <w:p w14:paraId="413F8BE2" w14:textId="0788D60B" w:rsidR="00EF389B" w:rsidRPr="008063BF" w:rsidRDefault="00581636" w:rsidP="00EF389B">
            <w:pPr>
              <w:pStyle w:val="TableParagraph"/>
              <w:spacing w:before="54"/>
              <w:ind w:left="110"/>
              <w:jc w:val="both"/>
              <w:rPr>
                <w:sz w:val="20"/>
                <w:szCs w:val="20"/>
              </w:rPr>
            </w:pPr>
            <w:r w:rsidRPr="008063BF">
              <w:rPr>
                <w:sz w:val="20"/>
                <w:szCs w:val="20"/>
              </w:rPr>
              <w:t>This course aims to provide students with an in-depth understanding of advanced topics in international law, with a particular focus on areas relevant to contemporary global affairs. Through a comprehensive examination of key principles, theories, and case studies, students will develop a nuanced understanding of the complexities inherent in the international legal system. By the end of the course, students will be equipped with the analytical tools and knowledge necessary to critically evaluate and navigate issues pertaining to the use of force, state responsibility, the law of the sea, human rights, air and space law, as well as citizenship and nationality law, with a specific focus on Turkish legislation. Through engaging lectures, discussions, and assignments, students will be encouraged to think critically about the role of international law in shaping global politics, economics, and society, and to develop practical skills for applying legal principles to real-world scenarios.</w:t>
            </w:r>
          </w:p>
        </w:tc>
      </w:tr>
      <w:tr w:rsidR="00EF389B" w:rsidRPr="008063BF" w14:paraId="1B3E82E5" w14:textId="77777777" w:rsidTr="002E6734">
        <w:trPr>
          <w:trHeight w:val="1156"/>
        </w:trPr>
        <w:tc>
          <w:tcPr>
            <w:tcW w:w="1522" w:type="dxa"/>
            <w:vAlign w:val="center"/>
          </w:tcPr>
          <w:p w14:paraId="4AC03A4C" w14:textId="011DD0B2" w:rsidR="00EF389B" w:rsidRPr="008063BF" w:rsidRDefault="00EF389B" w:rsidP="00EF389B">
            <w:pPr>
              <w:pStyle w:val="TableParagraph"/>
              <w:spacing w:before="1"/>
              <w:ind w:left="63" w:right="46"/>
              <w:jc w:val="center"/>
              <w:rPr>
                <w:b/>
                <w:sz w:val="20"/>
                <w:szCs w:val="20"/>
              </w:rPr>
            </w:pPr>
            <w:r w:rsidRPr="008063BF">
              <w:rPr>
                <w:b/>
                <w:sz w:val="20"/>
                <w:szCs w:val="20"/>
              </w:rPr>
              <w:t>Textbook(s)</w:t>
            </w:r>
          </w:p>
        </w:tc>
        <w:tc>
          <w:tcPr>
            <w:tcW w:w="8835" w:type="dxa"/>
            <w:gridSpan w:val="5"/>
            <w:vAlign w:val="center"/>
          </w:tcPr>
          <w:p w14:paraId="53636C38" w14:textId="77777777" w:rsidR="00581636" w:rsidRPr="008063BF" w:rsidRDefault="00581636" w:rsidP="00581636">
            <w:pPr>
              <w:pStyle w:val="Kaynakca"/>
              <w:spacing w:line="256" w:lineRule="auto"/>
              <w:ind w:left="0" w:firstLine="0"/>
              <w:rPr>
                <w:rFonts w:ascii="Carlito" w:hAnsi="Carlito"/>
                <w:b/>
                <w:bCs/>
                <w:sz w:val="20"/>
                <w:lang w:eastAsia="en-US"/>
              </w:rPr>
            </w:pPr>
            <w:r w:rsidRPr="008063BF">
              <w:rPr>
                <w:rFonts w:ascii="Carlito" w:hAnsi="Carlito"/>
                <w:b/>
                <w:bCs/>
                <w:sz w:val="20"/>
                <w:lang w:eastAsia="en-US"/>
              </w:rPr>
              <w:t>Main Textbook</w:t>
            </w:r>
          </w:p>
          <w:p w14:paraId="283B8F77" w14:textId="77777777" w:rsidR="00581636" w:rsidRPr="008063BF" w:rsidRDefault="00581636" w:rsidP="00581636">
            <w:pPr>
              <w:pStyle w:val="Kaynakca"/>
              <w:numPr>
                <w:ilvl w:val="0"/>
                <w:numId w:val="2"/>
              </w:numPr>
              <w:spacing w:line="256" w:lineRule="auto"/>
              <w:rPr>
                <w:rFonts w:ascii="Carlito" w:hAnsi="Carlito"/>
                <w:sz w:val="20"/>
                <w:lang w:eastAsia="en-US"/>
              </w:rPr>
            </w:pPr>
            <w:r w:rsidRPr="008063BF">
              <w:rPr>
                <w:rFonts w:ascii="Carlito" w:hAnsi="Carlito"/>
                <w:sz w:val="20"/>
                <w:lang w:eastAsia="en-US"/>
              </w:rPr>
              <w:t xml:space="preserve">SHAW, Malchom. </w:t>
            </w:r>
            <w:r w:rsidRPr="008063BF">
              <w:rPr>
                <w:rFonts w:ascii="Carlito" w:hAnsi="Carlito"/>
                <w:i/>
                <w:iCs/>
                <w:sz w:val="20"/>
                <w:lang w:eastAsia="en-US"/>
              </w:rPr>
              <w:t>International Law</w:t>
            </w:r>
            <w:r w:rsidRPr="008063BF">
              <w:rPr>
                <w:rFonts w:ascii="Carlito" w:hAnsi="Carlito"/>
                <w:sz w:val="20"/>
                <w:lang w:eastAsia="en-US"/>
              </w:rPr>
              <w:t xml:space="preserve">, 8th (or 9th) Edition, Cambridge </w:t>
            </w:r>
            <w:proofErr w:type="spellStart"/>
            <w:r w:rsidRPr="008063BF">
              <w:rPr>
                <w:rFonts w:ascii="Carlito" w:hAnsi="Carlito"/>
                <w:sz w:val="20"/>
                <w:lang w:eastAsia="en-US"/>
              </w:rPr>
              <w:t>Univeristy</w:t>
            </w:r>
            <w:proofErr w:type="spellEnd"/>
            <w:r w:rsidRPr="008063BF">
              <w:rPr>
                <w:rFonts w:ascii="Carlito" w:hAnsi="Carlito"/>
                <w:sz w:val="20"/>
                <w:lang w:eastAsia="en-US"/>
              </w:rPr>
              <w:t xml:space="preserve"> Press.</w:t>
            </w:r>
          </w:p>
          <w:p w14:paraId="0FFB8A05" w14:textId="77777777" w:rsidR="00581636" w:rsidRPr="008063BF" w:rsidRDefault="00581636" w:rsidP="00581636">
            <w:pPr>
              <w:pStyle w:val="Kaynakca"/>
              <w:spacing w:line="256" w:lineRule="auto"/>
              <w:ind w:left="0" w:firstLine="0"/>
              <w:rPr>
                <w:rFonts w:ascii="Carlito" w:hAnsi="Carlito"/>
                <w:b/>
                <w:bCs/>
                <w:sz w:val="20"/>
                <w:lang w:eastAsia="en-US"/>
              </w:rPr>
            </w:pPr>
            <w:r w:rsidRPr="008063BF">
              <w:rPr>
                <w:rFonts w:ascii="Carlito" w:hAnsi="Carlito"/>
                <w:b/>
                <w:bCs/>
                <w:sz w:val="20"/>
                <w:lang w:eastAsia="en-US"/>
              </w:rPr>
              <w:t>Other Textbooks:</w:t>
            </w:r>
          </w:p>
          <w:p w14:paraId="47418CF6" w14:textId="77777777" w:rsidR="008063BF" w:rsidRPr="008063BF" w:rsidRDefault="00581636" w:rsidP="008063BF">
            <w:pPr>
              <w:pStyle w:val="Kaynakca"/>
              <w:numPr>
                <w:ilvl w:val="0"/>
                <w:numId w:val="1"/>
              </w:numPr>
              <w:spacing w:line="256" w:lineRule="auto"/>
              <w:rPr>
                <w:rFonts w:ascii="Carlito" w:hAnsi="Carlito"/>
                <w:bCs/>
                <w:sz w:val="20"/>
                <w:lang w:eastAsia="en-US"/>
              </w:rPr>
            </w:pPr>
            <w:r w:rsidRPr="008063BF">
              <w:rPr>
                <w:rFonts w:ascii="Carlito" w:hAnsi="Carlito"/>
                <w:bCs/>
                <w:sz w:val="20"/>
                <w:lang w:eastAsia="en-US"/>
              </w:rPr>
              <w:t xml:space="preserve">KIRDIM, Şahin Eray. </w:t>
            </w:r>
            <w:proofErr w:type="spellStart"/>
            <w:r w:rsidRPr="008063BF">
              <w:rPr>
                <w:rFonts w:ascii="Carlito" w:hAnsi="Carlito"/>
                <w:bCs/>
                <w:i/>
                <w:iCs/>
                <w:sz w:val="20"/>
                <w:lang w:eastAsia="en-US"/>
              </w:rPr>
              <w:t>Uluslararası</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Hukukta</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İnsani</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Müdahale</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Doktrini</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ve</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Birleşmiş</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Milletlerde</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Paylaşımlı</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Yetki</w:t>
            </w:r>
            <w:proofErr w:type="spellEnd"/>
            <w:r w:rsidRPr="008063BF">
              <w:rPr>
                <w:rFonts w:ascii="Carlito" w:hAnsi="Carlito"/>
                <w:bCs/>
                <w:i/>
                <w:iCs/>
                <w:sz w:val="20"/>
                <w:lang w:eastAsia="en-US"/>
              </w:rPr>
              <w:t xml:space="preserve"> </w:t>
            </w:r>
            <w:proofErr w:type="spellStart"/>
            <w:r w:rsidRPr="008063BF">
              <w:rPr>
                <w:rFonts w:ascii="Carlito" w:hAnsi="Carlito"/>
                <w:bCs/>
                <w:i/>
                <w:iCs/>
                <w:sz w:val="20"/>
                <w:lang w:eastAsia="en-US"/>
              </w:rPr>
              <w:t>Mekanizması</w:t>
            </w:r>
            <w:proofErr w:type="spellEnd"/>
            <w:r w:rsidRPr="008063BF">
              <w:rPr>
                <w:rFonts w:ascii="Carlito" w:hAnsi="Carlito"/>
                <w:bCs/>
                <w:sz w:val="20"/>
                <w:lang w:eastAsia="en-US"/>
              </w:rPr>
              <w:t>, Yetkin Yayınevi.</w:t>
            </w:r>
          </w:p>
          <w:p w14:paraId="6093A56F" w14:textId="7F2EF387" w:rsidR="00EF389B" w:rsidRPr="008063BF" w:rsidRDefault="00581636" w:rsidP="008063BF">
            <w:pPr>
              <w:pStyle w:val="Kaynakca"/>
              <w:numPr>
                <w:ilvl w:val="0"/>
                <w:numId w:val="1"/>
              </w:numPr>
              <w:spacing w:line="256" w:lineRule="auto"/>
              <w:rPr>
                <w:rFonts w:ascii="Carlito" w:hAnsi="Carlito"/>
                <w:bCs/>
                <w:sz w:val="20"/>
                <w:lang w:eastAsia="en-US"/>
              </w:rPr>
            </w:pPr>
            <w:r w:rsidRPr="008063BF">
              <w:rPr>
                <w:rFonts w:ascii="Carlito" w:hAnsi="Carlito"/>
                <w:bCs/>
                <w:sz w:val="20"/>
              </w:rPr>
              <w:t xml:space="preserve">DOĞAN, Vahit. </w:t>
            </w:r>
            <w:r w:rsidRPr="008063BF">
              <w:rPr>
                <w:rFonts w:ascii="Carlito" w:hAnsi="Carlito"/>
                <w:bCs/>
                <w:i/>
                <w:sz w:val="20"/>
              </w:rPr>
              <w:t xml:space="preserve">Türk </w:t>
            </w:r>
            <w:proofErr w:type="spellStart"/>
            <w:r w:rsidRPr="008063BF">
              <w:rPr>
                <w:rFonts w:ascii="Carlito" w:hAnsi="Carlito"/>
                <w:bCs/>
                <w:i/>
                <w:sz w:val="20"/>
              </w:rPr>
              <w:t>Vatandaşlık</w:t>
            </w:r>
            <w:proofErr w:type="spellEnd"/>
            <w:r w:rsidRPr="008063BF">
              <w:rPr>
                <w:rFonts w:ascii="Carlito" w:hAnsi="Carlito"/>
                <w:bCs/>
                <w:i/>
                <w:sz w:val="20"/>
              </w:rPr>
              <w:t xml:space="preserve"> </w:t>
            </w:r>
            <w:proofErr w:type="spellStart"/>
            <w:r w:rsidRPr="008063BF">
              <w:rPr>
                <w:rFonts w:ascii="Carlito" w:hAnsi="Carlito"/>
                <w:bCs/>
                <w:i/>
                <w:sz w:val="20"/>
              </w:rPr>
              <w:t>Hukuku</w:t>
            </w:r>
            <w:proofErr w:type="spellEnd"/>
            <w:r w:rsidRPr="008063BF">
              <w:rPr>
                <w:rFonts w:ascii="Carlito" w:hAnsi="Carlito"/>
                <w:bCs/>
                <w:sz w:val="20"/>
              </w:rPr>
              <w:t xml:space="preserve">, </w:t>
            </w:r>
            <w:proofErr w:type="spellStart"/>
            <w:r w:rsidRPr="008063BF">
              <w:rPr>
                <w:rFonts w:ascii="Carlito" w:hAnsi="Carlito"/>
                <w:bCs/>
                <w:sz w:val="20"/>
              </w:rPr>
              <w:t>Rehber</w:t>
            </w:r>
            <w:proofErr w:type="spellEnd"/>
            <w:r w:rsidRPr="008063BF">
              <w:rPr>
                <w:rFonts w:ascii="Carlito" w:hAnsi="Carlito"/>
                <w:bCs/>
                <w:sz w:val="20"/>
              </w:rPr>
              <w:t xml:space="preserve"> Yayınevi.</w:t>
            </w:r>
          </w:p>
        </w:tc>
      </w:tr>
      <w:tr w:rsidR="00581636" w:rsidRPr="008063BF" w14:paraId="51BF0839" w14:textId="77777777" w:rsidTr="002E6734">
        <w:trPr>
          <w:trHeight w:val="1050"/>
        </w:trPr>
        <w:tc>
          <w:tcPr>
            <w:tcW w:w="1522" w:type="dxa"/>
            <w:tcBorders>
              <w:top w:val="nil"/>
            </w:tcBorders>
            <w:vAlign w:val="center"/>
          </w:tcPr>
          <w:p w14:paraId="4830506D" w14:textId="6FDBEF63" w:rsidR="00581636" w:rsidRPr="008063BF" w:rsidRDefault="00581636" w:rsidP="00581636">
            <w:pPr>
              <w:jc w:val="center"/>
              <w:rPr>
                <w:rFonts w:ascii="Carlito" w:hAnsi="Carlito"/>
                <w:sz w:val="20"/>
                <w:szCs w:val="20"/>
              </w:rPr>
            </w:pPr>
            <w:r w:rsidRPr="008063BF">
              <w:rPr>
                <w:rFonts w:ascii="Carlito" w:hAnsi="Carlito"/>
                <w:b/>
                <w:sz w:val="20"/>
                <w:szCs w:val="20"/>
              </w:rPr>
              <w:t>Teaching Methods and Techniques</w:t>
            </w:r>
          </w:p>
        </w:tc>
        <w:tc>
          <w:tcPr>
            <w:tcW w:w="8835" w:type="dxa"/>
            <w:gridSpan w:val="5"/>
            <w:vAlign w:val="center"/>
          </w:tcPr>
          <w:p w14:paraId="008A3926" w14:textId="2AA5028D" w:rsidR="00581636" w:rsidRPr="008063BF" w:rsidRDefault="00581636" w:rsidP="00581636">
            <w:pPr>
              <w:pStyle w:val="TableParagraph"/>
              <w:spacing w:before="159"/>
              <w:ind w:left="110"/>
              <w:jc w:val="both"/>
              <w:rPr>
                <w:sz w:val="20"/>
                <w:szCs w:val="20"/>
              </w:rPr>
            </w:pPr>
            <w:r w:rsidRPr="008063BF">
              <w:rPr>
                <w:sz w:val="20"/>
                <w:szCs w:val="20"/>
              </w:rPr>
              <w:t>The course will be conducted through a combination of lectures, interactive class discussions, and case study analyses. Students will be expected to read assigned materials prior to each class and actively participate in discussions. Selected international legal cases and documents will be examined in class to enhance understanding of key concepts.</w:t>
            </w:r>
          </w:p>
        </w:tc>
      </w:tr>
      <w:tr w:rsidR="00EF389B" w:rsidRPr="008063BF" w14:paraId="4F15BF87" w14:textId="77777777" w:rsidTr="002E6734">
        <w:trPr>
          <w:trHeight w:val="1852"/>
        </w:trPr>
        <w:tc>
          <w:tcPr>
            <w:tcW w:w="1522" w:type="dxa"/>
            <w:vAlign w:val="center"/>
          </w:tcPr>
          <w:p w14:paraId="2BA94A5B" w14:textId="495CA8D2" w:rsidR="00EF389B" w:rsidRPr="008063BF" w:rsidRDefault="00EF389B" w:rsidP="00EF389B">
            <w:pPr>
              <w:pStyle w:val="TableParagraph"/>
              <w:ind w:right="321"/>
              <w:jc w:val="center"/>
              <w:rPr>
                <w:b/>
                <w:sz w:val="20"/>
                <w:szCs w:val="20"/>
              </w:rPr>
            </w:pPr>
            <w:r w:rsidRPr="008063BF">
              <w:rPr>
                <w:b/>
                <w:spacing w:val="-2"/>
                <w:sz w:val="20"/>
                <w:szCs w:val="20"/>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8063BF" w14:paraId="664FDED0" w14:textId="77777777" w:rsidTr="00A25E79">
              <w:trPr>
                <w:trHeight w:val="278"/>
              </w:trPr>
              <w:tc>
                <w:tcPr>
                  <w:tcW w:w="1024" w:type="dxa"/>
                </w:tcPr>
                <w:p w14:paraId="404040C5" w14:textId="77777777" w:rsidR="00731977" w:rsidRPr="008063BF" w:rsidRDefault="00731977" w:rsidP="00731977">
                  <w:pPr>
                    <w:jc w:val="both"/>
                    <w:rPr>
                      <w:rFonts w:ascii="Carlito" w:hAnsi="Carlito"/>
                      <w:sz w:val="20"/>
                      <w:szCs w:val="20"/>
                    </w:rPr>
                  </w:pPr>
                  <w:r w:rsidRPr="008063BF">
                    <w:rPr>
                      <w:rFonts w:ascii="Carlito" w:hAnsi="Carlito"/>
                      <w:sz w:val="20"/>
                      <w:szCs w:val="20"/>
                    </w:rPr>
                    <w:t>1</w:t>
                  </w:r>
                </w:p>
              </w:tc>
              <w:tc>
                <w:tcPr>
                  <w:tcW w:w="7796" w:type="dxa"/>
                </w:tcPr>
                <w:p w14:paraId="7C01A625" w14:textId="652A5846" w:rsidR="00731977" w:rsidRPr="008063BF" w:rsidRDefault="008C4184" w:rsidP="00731977">
                  <w:pPr>
                    <w:jc w:val="both"/>
                    <w:rPr>
                      <w:rFonts w:ascii="Carlito" w:hAnsi="Carlito"/>
                      <w:sz w:val="20"/>
                      <w:szCs w:val="20"/>
                    </w:rPr>
                  </w:pPr>
                  <w:r w:rsidRPr="008063BF">
                    <w:rPr>
                      <w:rFonts w:ascii="Carlito" w:hAnsi="Carlito"/>
                      <w:sz w:val="20"/>
                      <w:szCs w:val="20"/>
                    </w:rPr>
                    <w:t>Apply International Law concepts, including those related to the use of force, state responsibility, the law of the sea, human rights, air and space law, citizenship, and nationality law, to analyze and address contemporary global issues and conflicts.</w:t>
                  </w:r>
                </w:p>
              </w:tc>
            </w:tr>
            <w:tr w:rsidR="00731977" w:rsidRPr="008063BF" w14:paraId="3A5601D0" w14:textId="77777777" w:rsidTr="00A25E79">
              <w:trPr>
                <w:trHeight w:val="266"/>
              </w:trPr>
              <w:tc>
                <w:tcPr>
                  <w:tcW w:w="1024" w:type="dxa"/>
                </w:tcPr>
                <w:p w14:paraId="2123B7B1" w14:textId="77777777" w:rsidR="00731977" w:rsidRPr="008063BF" w:rsidRDefault="00731977" w:rsidP="00731977">
                  <w:pPr>
                    <w:jc w:val="both"/>
                    <w:rPr>
                      <w:rFonts w:ascii="Carlito" w:hAnsi="Carlito"/>
                      <w:sz w:val="20"/>
                      <w:szCs w:val="20"/>
                    </w:rPr>
                  </w:pPr>
                  <w:r w:rsidRPr="008063BF">
                    <w:rPr>
                      <w:rFonts w:ascii="Carlito" w:hAnsi="Carlito"/>
                      <w:sz w:val="20"/>
                      <w:szCs w:val="20"/>
                    </w:rPr>
                    <w:t>2</w:t>
                  </w:r>
                </w:p>
              </w:tc>
              <w:tc>
                <w:tcPr>
                  <w:tcW w:w="7796" w:type="dxa"/>
                </w:tcPr>
                <w:p w14:paraId="724ACAE1" w14:textId="68CB3C3F" w:rsidR="00731977" w:rsidRPr="008063BF" w:rsidRDefault="008C4184" w:rsidP="00731977">
                  <w:pPr>
                    <w:jc w:val="both"/>
                    <w:rPr>
                      <w:rFonts w:ascii="Carlito" w:hAnsi="Carlito"/>
                      <w:sz w:val="20"/>
                      <w:szCs w:val="20"/>
                    </w:rPr>
                  </w:pPr>
                  <w:r w:rsidRPr="008063BF">
                    <w:rPr>
                      <w:rFonts w:ascii="Carlito" w:hAnsi="Carlito"/>
                      <w:sz w:val="20"/>
                      <w:szCs w:val="20"/>
                    </w:rPr>
                    <w:t>Apply legal reasoning and critical thinking skills to analyze and resolve complex legal issues in international law through case studies, simulations, and practical exercises.</w:t>
                  </w:r>
                </w:p>
              </w:tc>
            </w:tr>
            <w:tr w:rsidR="00731977" w:rsidRPr="008063BF" w14:paraId="340C8DE8" w14:textId="77777777" w:rsidTr="00A25E79">
              <w:trPr>
                <w:trHeight w:val="278"/>
              </w:trPr>
              <w:tc>
                <w:tcPr>
                  <w:tcW w:w="1024" w:type="dxa"/>
                </w:tcPr>
                <w:p w14:paraId="10906DF2" w14:textId="77777777" w:rsidR="00731977" w:rsidRPr="008063BF" w:rsidRDefault="00731977" w:rsidP="00731977">
                  <w:pPr>
                    <w:jc w:val="both"/>
                    <w:rPr>
                      <w:rFonts w:ascii="Carlito" w:hAnsi="Carlito"/>
                      <w:sz w:val="20"/>
                      <w:szCs w:val="20"/>
                    </w:rPr>
                  </w:pPr>
                  <w:r w:rsidRPr="008063BF">
                    <w:rPr>
                      <w:rFonts w:ascii="Carlito" w:hAnsi="Carlito"/>
                      <w:sz w:val="20"/>
                      <w:szCs w:val="20"/>
                    </w:rPr>
                    <w:t>3</w:t>
                  </w:r>
                </w:p>
              </w:tc>
              <w:tc>
                <w:tcPr>
                  <w:tcW w:w="7796" w:type="dxa"/>
                </w:tcPr>
                <w:p w14:paraId="0FD6872D" w14:textId="373AA5F1" w:rsidR="00731977" w:rsidRPr="008063BF" w:rsidRDefault="008C4184" w:rsidP="00731977">
                  <w:pPr>
                    <w:jc w:val="both"/>
                    <w:rPr>
                      <w:rFonts w:ascii="Carlito" w:hAnsi="Carlito"/>
                      <w:sz w:val="20"/>
                      <w:szCs w:val="20"/>
                    </w:rPr>
                  </w:pPr>
                  <w:r w:rsidRPr="008063BF">
                    <w:rPr>
                      <w:rFonts w:ascii="Carlito" w:hAnsi="Carlito"/>
                      <w:sz w:val="20"/>
                      <w:szCs w:val="20"/>
                    </w:rPr>
                    <w:t>Critically evaluate the role of international law in addressing contemporary global challenges, including conflict resolution, environmental protection, and the promotion of peace and security.</w:t>
                  </w:r>
                </w:p>
              </w:tc>
            </w:tr>
            <w:tr w:rsidR="00731977" w:rsidRPr="008063BF" w14:paraId="51D0F1F4" w14:textId="77777777" w:rsidTr="00A25E79">
              <w:trPr>
                <w:trHeight w:val="278"/>
              </w:trPr>
              <w:tc>
                <w:tcPr>
                  <w:tcW w:w="1024" w:type="dxa"/>
                </w:tcPr>
                <w:p w14:paraId="60ACDED6" w14:textId="77777777" w:rsidR="00731977" w:rsidRPr="008063BF" w:rsidRDefault="00731977" w:rsidP="00731977">
                  <w:pPr>
                    <w:jc w:val="both"/>
                    <w:rPr>
                      <w:rFonts w:ascii="Carlito" w:hAnsi="Carlito"/>
                      <w:sz w:val="20"/>
                      <w:szCs w:val="20"/>
                    </w:rPr>
                  </w:pPr>
                  <w:r w:rsidRPr="008063BF">
                    <w:rPr>
                      <w:rFonts w:ascii="Carlito" w:hAnsi="Carlito"/>
                      <w:sz w:val="20"/>
                      <w:szCs w:val="20"/>
                    </w:rPr>
                    <w:t>4</w:t>
                  </w:r>
                </w:p>
              </w:tc>
              <w:tc>
                <w:tcPr>
                  <w:tcW w:w="7796" w:type="dxa"/>
                </w:tcPr>
                <w:p w14:paraId="62EDA49C" w14:textId="125EC0E4" w:rsidR="00731977" w:rsidRPr="008063BF" w:rsidRDefault="008C4184" w:rsidP="00731977">
                  <w:pPr>
                    <w:jc w:val="both"/>
                    <w:rPr>
                      <w:rFonts w:ascii="Carlito" w:hAnsi="Carlito"/>
                      <w:sz w:val="20"/>
                      <w:szCs w:val="20"/>
                    </w:rPr>
                  </w:pPr>
                  <w:r w:rsidRPr="008063BF">
                    <w:rPr>
                      <w:rFonts w:ascii="Carlito" w:hAnsi="Carlito"/>
                      <w:sz w:val="20"/>
                      <w:szCs w:val="20"/>
                    </w:rPr>
                    <w:t>Analyze the legal framework governing citizenship and nationality, with a specific focus on Turkish legislation, including acquisition, loss, and restoration of citizenship rights.</w:t>
                  </w:r>
                </w:p>
              </w:tc>
            </w:tr>
          </w:tbl>
          <w:p w14:paraId="0BD6EB83" w14:textId="0C231C53" w:rsidR="00EF389B" w:rsidRPr="008063BF" w:rsidRDefault="00EF389B" w:rsidP="00731977">
            <w:pPr>
              <w:pStyle w:val="TableParagraph"/>
              <w:spacing w:before="91" w:line="240" w:lineRule="atLeast"/>
              <w:ind w:right="176"/>
              <w:jc w:val="both"/>
              <w:rPr>
                <w:sz w:val="20"/>
                <w:szCs w:val="20"/>
              </w:rPr>
            </w:pPr>
          </w:p>
        </w:tc>
      </w:tr>
      <w:tr w:rsidR="00EF389B" w:rsidRPr="008063BF" w14:paraId="053FDF09" w14:textId="77777777" w:rsidTr="002E6734">
        <w:trPr>
          <w:trHeight w:val="1041"/>
        </w:trPr>
        <w:tc>
          <w:tcPr>
            <w:tcW w:w="1522" w:type="dxa"/>
            <w:vAlign w:val="center"/>
          </w:tcPr>
          <w:p w14:paraId="10618E10" w14:textId="082B0009" w:rsidR="00EF389B" w:rsidRPr="008063BF" w:rsidRDefault="00EF389B" w:rsidP="00EF389B">
            <w:pPr>
              <w:pStyle w:val="TableParagraph"/>
              <w:spacing w:before="30"/>
              <w:ind w:right="46"/>
              <w:jc w:val="center"/>
              <w:rPr>
                <w:b/>
                <w:sz w:val="20"/>
                <w:szCs w:val="20"/>
              </w:rPr>
            </w:pPr>
            <w:r w:rsidRPr="008063BF">
              <w:rPr>
                <w:b/>
                <w:sz w:val="20"/>
                <w:szCs w:val="20"/>
              </w:rPr>
              <w:t>Program Outcomes Contributed by the Course</w:t>
            </w:r>
          </w:p>
        </w:tc>
        <w:tc>
          <w:tcPr>
            <w:tcW w:w="8835" w:type="dxa"/>
            <w:gridSpan w:val="5"/>
            <w:vAlign w:val="center"/>
          </w:tcPr>
          <w:p w14:paraId="511F786C" w14:textId="2971B278" w:rsidR="00731977" w:rsidRPr="008063BF" w:rsidRDefault="00731977" w:rsidP="00731977">
            <w:pPr>
              <w:pStyle w:val="TableParagraph"/>
              <w:jc w:val="both"/>
              <w:rPr>
                <w:b/>
                <w:bCs/>
                <w:sz w:val="20"/>
                <w:szCs w:val="20"/>
              </w:rPr>
            </w:pPr>
            <w:r w:rsidRPr="008063BF">
              <w:rPr>
                <w:b/>
                <w:bCs/>
                <w:sz w:val="20"/>
                <w:szCs w:val="20"/>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8063BF" w14:paraId="7E10CF4A" w14:textId="77777777" w:rsidTr="00A25E79">
              <w:trPr>
                <w:trHeight w:val="280"/>
              </w:trPr>
              <w:tc>
                <w:tcPr>
                  <w:tcW w:w="1024" w:type="dxa"/>
                </w:tcPr>
                <w:p w14:paraId="3F5B9EAD" w14:textId="2B4B5BCE" w:rsidR="00731977" w:rsidRPr="008063BF" w:rsidRDefault="00CD228A" w:rsidP="00731977">
                  <w:pPr>
                    <w:jc w:val="both"/>
                    <w:rPr>
                      <w:rFonts w:ascii="Carlito" w:hAnsi="Carlito"/>
                      <w:sz w:val="20"/>
                      <w:szCs w:val="20"/>
                    </w:rPr>
                  </w:pPr>
                  <w:r w:rsidRPr="008063BF">
                    <w:rPr>
                      <w:rFonts w:ascii="Carlito" w:hAnsi="Carlito"/>
                      <w:sz w:val="20"/>
                      <w:szCs w:val="20"/>
                    </w:rPr>
                    <w:t>PO1</w:t>
                  </w:r>
                </w:p>
              </w:tc>
              <w:tc>
                <w:tcPr>
                  <w:tcW w:w="7784" w:type="dxa"/>
                </w:tcPr>
                <w:p w14:paraId="38E32BB7" w14:textId="4AFA47D1" w:rsidR="00731977" w:rsidRPr="008063BF" w:rsidRDefault="00CD228A" w:rsidP="00731977">
                  <w:pPr>
                    <w:jc w:val="both"/>
                    <w:rPr>
                      <w:rFonts w:ascii="Carlito" w:hAnsi="Carlito"/>
                      <w:sz w:val="20"/>
                      <w:szCs w:val="20"/>
                    </w:rPr>
                  </w:pPr>
                  <w:r w:rsidRPr="008063BF">
                    <w:rPr>
                      <w:rFonts w:ascii="Carlito" w:hAnsi="Carlito"/>
                      <w:sz w:val="20"/>
                      <w:szCs w:val="20"/>
                    </w:rPr>
                    <w:t>Ability to access and use advanced conceptual, theoretical, and empirical knowledge in the discipline and subfields of International Relations in light of current academic sources.</w:t>
                  </w:r>
                </w:p>
              </w:tc>
            </w:tr>
            <w:tr w:rsidR="00731977" w:rsidRPr="008063BF" w14:paraId="109BAA97" w14:textId="77777777" w:rsidTr="00A25E79">
              <w:trPr>
                <w:trHeight w:val="268"/>
              </w:trPr>
              <w:tc>
                <w:tcPr>
                  <w:tcW w:w="1024" w:type="dxa"/>
                </w:tcPr>
                <w:p w14:paraId="65ED327B" w14:textId="52C3CF47" w:rsidR="00731977" w:rsidRPr="008063BF" w:rsidRDefault="00CD228A" w:rsidP="00731977">
                  <w:pPr>
                    <w:jc w:val="both"/>
                    <w:rPr>
                      <w:rFonts w:ascii="Carlito" w:hAnsi="Carlito"/>
                      <w:sz w:val="20"/>
                      <w:szCs w:val="20"/>
                    </w:rPr>
                  </w:pPr>
                  <w:r w:rsidRPr="008063BF">
                    <w:rPr>
                      <w:rFonts w:ascii="Carlito" w:hAnsi="Carlito"/>
                      <w:sz w:val="20"/>
                      <w:szCs w:val="20"/>
                    </w:rPr>
                    <w:t>PO4</w:t>
                  </w:r>
                </w:p>
              </w:tc>
              <w:tc>
                <w:tcPr>
                  <w:tcW w:w="7784" w:type="dxa"/>
                </w:tcPr>
                <w:p w14:paraId="57B68867" w14:textId="641FCF7B" w:rsidR="00731977" w:rsidRPr="008063BF" w:rsidRDefault="00CD228A" w:rsidP="00731977">
                  <w:pPr>
                    <w:jc w:val="both"/>
                    <w:rPr>
                      <w:rFonts w:ascii="Carlito" w:hAnsi="Carlito"/>
                      <w:sz w:val="20"/>
                      <w:szCs w:val="20"/>
                    </w:rPr>
                  </w:pPr>
                  <w:r w:rsidRPr="008063BF">
                    <w:rPr>
                      <w:rFonts w:ascii="Carlito" w:hAnsi="Carlito"/>
                      <w:sz w:val="20"/>
                      <w:szCs w:val="20"/>
                    </w:rPr>
                    <w:t>Ability to identify the main issues of classical and contemporary international political phenomena by drawing on the theoretical foundations of International Relations and to offer critical interpretations of them.</w:t>
                  </w:r>
                </w:p>
              </w:tc>
            </w:tr>
            <w:tr w:rsidR="00731977" w:rsidRPr="008063BF" w14:paraId="57915FD8" w14:textId="77777777" w:rsidTr="00A25E79">
              <w:trPr>
                <w:trHeight w:val="280"/>
              </w:trPr>
              <w:tc>
                <w:tcPr>
                  <w:tcW w:w="1024" w:type="dxa"/>
                </w:tcPr>
                <w:p w14:paraId="3EEC2E29" w14:textId="42870276" w:rsidR="00731977" w:rsidRPr="008063BF" w:rsidRDefault="00CD228A" w:rsidP="00731977">
                  <w:pPr>
                    <w:jc w:val="both"/>
                    <w:rPr>
                      <w:rFonts w:ascii="Carlito" w:hAnsi="Carlito"/>
                      <w:sz w:val="20"/>
                      <w:szCs w:val="20"/>
                    </w:rPr>
                  </w:pPr>
                  <w:r w:rsidRPr="008063BF">
                    <w:rPr>
                      <w:rFonts w:ascii="Carlito" w:hAnsi="Carlito"/>
                      <w:sz w:val="20"/>
                      <w:szCs w:val="20"/>
                    </w:rPr>
                    <w:t>PO8</w:t>
                  </w:r>
                </w:p>
              </w:tc>
              <w:tc>
                <w:tcPr>
                  <w:tcW w:w="7784" w:type="dxa"/>
                </w:tcPr>
                <w:p w14:paraId="05B3A36E" w14:textId="266B346A" w:rsidR="00731977" w:rsidRPr="008063BF" w:rsidRDefault="00CD228A" w:rsidP="00731977">
                  <w:pPr>
                    <w:jc w:val="both"/>
                    <w:rPr>
                      <w:rFonts w:ascii="Carlito" w:hAnsi="Carlito"/>
                      <w:sz w:val="20"/>
                      <w:szCs w:val="20"/>
                    </w:rPr>
                  </w:pPr>
                  <w:r w:rsidRPr="008063BF">
                    <w:rPr>
                      <w:rFonts w:ascii="Carlito" w:hAnsi="Carlito"/>
                      <w:sz w:val="20"/>
                      <w:szCs w:val="20"/>
                    </w:rPr>
                    <w:t>Ability to demonstrate basic knowledge of other relevant social science disciplines and to make use of this knowledge within the discipline of International Relations.</w:t>
                  </w:r>
                </w:p>
              </w:tc>
            </w:tr>
            <w:tr w:rsidR="00731977" w:rsidRPr="008063BF" w14:paraId="30202A05" w14:textId="77777777" w:rsidTr="00A25E79">
              <w:trPr>
                <w:trHeight w:val="268"/>
              </w:trPr>
              <w:tc>
                <w:tcPr>
                  <w:tcW w:w="1024" w:type="dxa"/>
                </w:tcPr>
                <w:p w14:paraId="7F16B3BD" w14:textId="634AABED" w:rsidR="00731977" w:rsidRPr="008063BF" w:rsidRDefault="00CD228A" w:rsidP="00731977">
                  <w:pPr>
                    <w:jc w:val="both"/>
                    <w:rPr>
                      <w:rFonts w:ascii="Carlito" w:hAnsi="Carlito"/>
                      <w:sz w:val="20"/>
                      <w:szCs w:val="20"/>
                    </w:rPr>
                  </w:pPr>
                  <w:r w:rsidRPr="008063BF">
                    <w:rPr>
                      <w:rFonts w:ascii="Carlito" w:hAnsi="Carlito"/>
                      <w:sz w:val="20"/>
                      <w:szCs w:val="20"/>
                    </w:rPr>
                    <w:t>PO9</w:t>
                  </w:r>
                </w:p>
              </w:tc>
              <w:tc>
                <w:tcPr>
                  <w:tcW w:w="7784" w:type="dxa"/>
                </w:tcPr>
                <w:p w14:paraId="24FA446F" w14:textId="78DF742E" w:rsidR="00731977" w:rsidRPr="008063BF" w:rsidRDefault="00CD228A" w:rsidP="00731977">
                  <w:pPr>
                    <w:jc w:val="both"/>
                    <w:rPr>
                      <w:rFonts w:ascii="Carlito" w:hAnsi="Carlito"/>
                      <w:sz w:val="20"/>
                      <w:szCs w:val="20"/>
                    </w:rPr>
                  </w:pPr>
                  <w:r w:rsidRPr="008063BF">
                    <w:rPr>
                      <w:rFonts w:ascii="Carlito" w:hAnsi="Carlito"/>
                      <w:sz w:val="20"/>
                      <w:szCs w:val="20"/>
                    </w:rPr>
                    <w:t>Ability to take initiative individually and as a member of a group in solving complex problems and to develop advanced problem-solving skills.</w:t>
                  </w:r>
                </w:p>
              </w:tc>
            </w:tr>
            <w:tr w:rsidR="00731977" w:rsidRPr="008063BF" w14:paraId="089B4BCC" w14:textId="77777777" w:rsidTr="00A25E79">
              <w:trPr>
                <w:trHeight w:val="280"/>
              </w:trPr>
              <w:tc>
                <w:tcPr>
                  <w:tcW w:w="1024" w:type="dxa"/>
                </w:tcPr>
                <w:p w14:paraId="5CF8D788" w14:textId="61482C5C" w:rsidR="00731977" w:rsidRPr="008063BF" w:rsidRDefault="00CD228A" w:rsidP="00731977">
                  <w:pPr>
                    <w:jc w:val="both"/>
                    <w:rPr>
                      <w:rFonts w:ascii="Carlito" w:hAnsi="Carlito"/>
                      <w:sz w:val="20"/>
                      <w:szCs w:val="20"/>
                    </w:rPr>
                  </w:pPr>
                  <w:r w:rsidRPr="008063BF">
                    <w:rPr>
                      <w:rFonts w:ascii="Carlito" w:hAnsi="Carlito"/>
                      <w:sz w:val="20"/>
                      <w:szCs w:val="20"/>
                    </w:rPr>
                    <w:t>PO12</w:t>
                  </w:r>
                </w:p>
              </w:tc>
              <w:tc>
                <w:tcPr>
                  <w:tcW w:w="7784" w:type="dxa"/>
                </w:tcPr>
                <w:p w14:paraId="517174D1" w14:textId="5427AEA0" w:rsidR="00731977" w:rsidRPr="008063BF" w:rsidRDefault="00CD228A" w:rsidP="00731977">
                  <w:pPr>
                    <w:jc w:val="both"/>
                    <w:rPr>
                      <w:rFonts w:ascii="Carlito" w:hAnsi="Carlito"/>
                      <w:sz w:val="20"/>
                      <w:szCs w:val="20"/>
                    </w:rPr>
                  </w:pPr>
                  <w:r w:rsidRPr="008063BF">
                    <w:rPr>
                      <w:rFonts w:ascii="Carlito" w:hAnsi="Carlito"/>
                      <w:sz w:val="20"/>
                      <w:szCs w:val="20"/>
                    </w:rPr>
                    <w:t>Ability to develop as an enlightened, reliable, and creative individual who can contribute to social development and approach situations and events objectively and critically.</w:t>
                  </w:r>
                </w:p>
              </w:tc>
            </w:tr>
          </w:tbl>
          <w:p w14:paraId="04E5F6F6" w14:textId="164ADD7B" w:rsidR="00EF389B" w:rsidRPr="008063BF" w:rsidRDefault="00EF389B" w:rsidP="00731977">
            <w:pPr>
              <w:pStyle w:val="TableParagraph"/>
              <w:jc w:val="both"/>
              <w:rPr>
                <w:sz w:val="20"/>
                <w:szCs w:val="20"/>
              </w:rPr>
            </w:pPr>
          </w:p>
        </w:tc>
      </w:tr>
      <w:tr w:rsidR="00EF389B" w:rsidRPr="008063BF" w14:paraId="330DB22F" w14:textId="77777777" w:rsidTr="002E6734">
        <w:trPr>
          <w:trHeight w:val="1190"/>
        </w:trPr>
        <w:tc>
          <w:tcPr>
            <w:tcW w:w="1522" w:type="dxa"/>
            <w:vAlign w:val="center"/>
          </w:tcPr>
          <w:p w14:paraId="7E5C216D" w14:textId="59673B4D" w:rsidR="00EF389B" w:rsidRPr="008063BF" w:rsidRDefault="00EF389B" w:rsidP="00EF389B">
            <w:pPr>
              <w:pStyle w:val="TableParagraph"/>
              <w:spacing w:before="227"/>
              <w:ind w:right="46"/>
              <w:jc w:val="center"/>
              <w:rPr>
                <w:b/>
                <w:sz w:val="20"/>
                <w:szCs w:val="20"/>
              </w:rPr>
            </w:pPr>
            <w:r w:rsidRPr="008063BF">
              <w:rPr>
                <w:b/>
                <w:sz w:val="20"/>
                <w:szCs w:val="20"/>
              </w:rPr>
              <w:lastRenderedPageBreak/>
              <w:t>Contribution of the Course to Field Instruction</w:t>
            </w:r>
          </w:p>
        </w:tc>
        <w:tc>
          <w:tcPr>
            <w:tcW w:w="8835" w:type="dxa"/>
            <w:gridSpan w:val="5"/>
            <w:vAlign w:val="center"/>
          </w:tcPr>
          <w:p w14:paraId="27278B09" w14:textId="4C3548FB" w:rsidR="00EF389B" w:rsidRPr="008063BF" w:rsidRDefault="008063BF" w:rsidP="008063BF">
            <w:pPr>
              <w:pStyle w:val="TableParagraph"/>
              <w:ind w:left="110"/>
              <w:jc w:val="both"/>
              <w:rPr>
                <w:sz w:val="20"/>
                <w:szCs w:val="20"/>
              </w:rPr>
            </w:pPr>
            <w:r w:rsidRPr="008063BF">
              <w:rPr>
                <w:sz w:val="20"/>
                <w:szCs w:val="20"/>
              </w:rPr>
              <w:t>This course contributes to field instruction by strengthening students</w:t>
            </w:r>
            <w:r w:rsidRPr="008063BF">
              <w:rPr>
                <w:sz w:val="20"/>
                <w:szCs w:val="20"/>
              </w:rPr>
              <w:t>’</w:t>
            </w:r>
            <w:r w:rsidRPr="008063BF">
              <w:rPr>
                <w:sz w:val="20"/>
                <w:szCs w:val="20"/>
              </w:rPr>
              <w:t xml:space="preserve"> ability to analyze major international issues through the legal framework of International Relations. By covering core areas such as the use of force, international humanitarian law, human rights law, the law of the sea, air and space law, and citizenship and nationality law, the course enables students to connect legal rules and institutions with contemporary political developments and global challenges. It also supports the development of legal reasoning, critical thinking, and problem-solving skills through case-based discussion and practical analysis, thereby enhancing students</w:t>
            </w:r>
            <w:r w:rsidRPr="008063BF">
              <w:rPr>
                <w:sz w:val="20"/>
                <w:szCs w:val="20"/>
              </w:rPr>
              <w:t>’</w:t>
            </w:r>
            <w:r w:rsidRPr="008063BF">
              <w:rPr>
                <w:sz w:val="20"/>
                <w:szCs w:val="20"/>
              </w:rPr>
              <w:t xml:space="preserve"> interdisciplinary understanding of international affairs.</w:t>
            </w:r>
          </w:p>
        </w:tc>
      </w:tr>
      <w:tr w:rsidR="00EF389B" w:rsidRPr="008063BF" w14:paraId="599EB8D2" w14:textId="77777777" w:rsidTr="002E6734">
        <w:trPr>
          <w:trHeight w:val="2567"/>
        </w:trPr>
        <w:tc>
          <w:tcPr>
            <w:tcW w:w="1522" w:type="dxa"/>
            <w:vAlign w:val="center"/>
          </w:tcPr>
          <w:p w14:paraId="494CD2ED" w14:textId="23EAFF23" w:rsidR="00EF389B" w:rsidRPr="008063BF" w:rsidRDefault="00EF389B" w:rsidP="00EF389B">
            <w:pPr>
              <w:pStyle w:val="TableParagraph"/>
              <w:ind w:right="359"/>
              <w:jc w:val="center"/>
              <w:rPr>
                <w:b/>
                <w:sz w:val="20"/>
                <w:szCs w:val="20"/>
              </w:rPr>
            </w:pPr>
            <w:r w:rsidRPr="008063BF">
              <w:rPr>
                <w:b/>
                <w:sz w:val="20"/>
                <w:szCs w:val="20"/>
              </w:rPr>
              <w:t xml:space="preserve">Topics Covered in </w:t>
            </w:r>
            <w:r w:rsidR="00685BD5" w:rsidRPr="008063BF">
              <w:rPr>
                <w:b/>
                <w:sz w:val="20"/>
                <w:szCs w:val="20"/>
              </w:rPr>
              <w:t xml:space="preserve">the </w:t>
            </w:r>
            <w:r w:rsidRPr="008063BF">
              <w:rPr>
                <w:b/>
                <w:sz w:val="20"/>
                <w:szCs w:val="20"/>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8C4184" w:rsidRPr="008063BF" w14:paraId="0E84BC14" w14:textId="77777777" w:rsidTr="00651F0F">
              <w:tc>
                <w:tcPr>
                  <w:tcW w:w="1024" w:type="dxa"/>
                </w:tcPr>
                <w:p w14:paraId="4792F858" w14:textId="6FE15463" w:rsidR="008C4184" w:rsidRPr="008063BF" w:rsidRDefault="008C4184" w:rsidP="008C4184">
                  <w:pPr>
                    <w:jc w:val="both"/>
                    <w:rPr>
                      <w:rFonts w:ascii="Carlito" w:hAnsi="Carlito"/>
                      <w:sz w:val="20"/>
                      <w:szCs w:val="20"/>
                    </w:rPr>
                  </w:pPr>
                  <w:r w:rsidRPr="008063BF">
                    <w:rPr>
                      <w:rFonts w:ascii="Carlito" w:hAnsi="Carlito"/>
                      <w:sz w:val="20"/>
                      <w:szCs w:val="20"/>
                    </w:rPr>
                    <w:t>1. Week</w:t>
                  </w:r>
                </w:p>
              </w:tc>
              <w:tc>
                <w:tcPr>
                  <w:tcW w:w="7786" w:type="dxa"/>
                </w:tcPr>
                <w:p w14:paraId="6C4E2F98" w14:textId="4EC9D64C" w:rsidR="008C4184" w:rsidRPr="008063BF" w:rsidRDefault="008C4184" w:rsidP="008C4184">
                  <w:pPr>
                    <w:jc w:val="both"/>
                    <w:rPr>
                      <w:rFonts w:ascii="Carlito" w:hAnsi="Carlito"/>
                      <w:sz w:val="20"/>
                      <w:szCs w:val="20"/>
                    </w:rPr>
                  </w:pPr>
                  <w:r w:rsidRPr="008063BF">
                    <w:rPr>
                      <w:rFonts w:ascii="Carlito" w:hAnsi="Carlito" w:cs="Times New Roman"/>
                      <w:sz w:val="20"/>
                      <w:szCs w:val="20"/>
                    </w:rPr>
                    <w:t>Introduction, Additional Remarks on International Tribunals</w:t>
                  </w:r>
                </w:p>
              </w:tc>
            </w:tr>
            <w:tr w:rsidR="008C4184" w:rsidRPr="008063BF" w14:paraId="48B2FD97" w14:textId="77777777" w:rsidTr="00651F0F">
              <w:tc>
                <w:tcPr>
                  <w:tcW w:w="1024" w:type="dxa"/>
                </w:tcPr>
                <w:p w14:paraId="15300749" w14:textId="32549FCE" w:rsidR="008C4184" w:rsidRPr="008063BF" w:rsidRDefault="008C4184" w:rsidP="008C4184">
                  <w:pPr>
                    <w:jc w:val="both"/>
                    <w:rPr>
                      <w:rFonts w:ascii="Carlito" w:hAnsi="Carlito"/>
                      <w:sz w:val="20"/>
                      <w:szCs w:val="20"/>
                    </w:rPr>
                  </w:pPr>
                  <w:r w:rsidRPr="008063BF">
                    <w:rPr>
                      <w:rFonts w:ascii="Carlito" w:hAnsi="Carlito"/>
                      <w:sz w:val="20"/>
                      <w:szCs w:val="20"/>
                    </w:rPr>
                    <w:t>2. Week</w:t>
                  </w:r>
                </w:p>
              </w:tc>
              <w:tc>
                <w:tcPr>
                  <w:tcW w:w="7786" w:type="dxa"/>
                </w:tcPr>
                <w:p w14:paraId="6E9441F3" w14:textId="75853AE2" w:rsidR="008C4184" w:rsidRPr="008063BF" w:rsidRDefault="008C4184" w:rsidP="008C4184">
                  <w:pPr>
                    <w:jc w:val="both"/>
                    <w:rPr>
                      <w:rFonts w:ascii="Carlito" w:hAnsi="Carlito"/>
                      <w:sz w:val="20"/>
                      <w:szCs w:val="20"/>
                    </w:rPr>
                  </w:pPr>
                  <w:r w:rsidRPr="008063BF">
                    <w:rPr>
                      <w:rFonts w:ascii="Carlito" w:hAnsi="Carlito" w:cs="Times New Roman"/>
                      <w:sz w:val="20"/>
                      <w:szCs w:val="20"/>
                    </w:rPr>
                    <w:t xml:space="preserve">Use of Force in International Law – </w:t>
                  </w:r>
                  <w:r w:rsidR="001D7BB4" w:rsidRPr="008063BF">
                    <w:rPr>
                      <w:rFonts w:ascii="Carlito" w:hAnsi="Carlito" w:cs="Times New Roman"/>
                      <w:sz w:val="20"/>
                      <w:szCs w:val="20"/>
                    </w:rPr>
                    <w:t>I</w:t>
                  </w:r>
                </w:p>
              </w:tc>
            </w:tr>
            <w:tr w:rsidR="008C4184" w:rsidRPr="008063BF" w14:paraId="48D28821" w14:textId="77777777" w:rsidTr="00651F0F">
              <w:tc>
                <w:tcPr>
                  <w:tcW w:w="1024" w:type="dxa"/>
                </w:tcPr>
                <w:p w14:paraId="15B75C81" w14:textId="14F5FB7D" w:rsidR="008C4184" w:rsidRPr="008063BF" w:rsidRDefault="008C4184" w:rsidP="008C4184">
                  <w:pPr>
                    <w:jc w:val="both"/>
                    <w:rPr>
                      <w:rFonts w:ascii="Carlito" w:hAnsi="Carlito"/>
                      <w:sz w:val="20"/>
                      <w:szCs w:val="20"/>
                    </w:rPr>
                  </w:pPr>
                  <w:r w:rsidRPr="008063BF">
                    <w:rPr>
                      <w:rFonts w:ascii="Carlito" w:hAnsi="Carlito"/>
                      <w:sz w:val="20"/>
                      <w:szCs w:val="20"/>
                    </w:rPr>
                    <w:t>3. Week</w:t>
                  </w:r>
                </w:p>
              </w:tc>
              <w:tc>
                <w:tcPr>
                  <w:tcW w:w="7786" w:type="dxa"/>
                </w:tcPr>
                <w:p w14:paraId="366481C1" w14:textId="7AAA325A" w:rsidR="008C4184" w:rsidRPr="008063BF" w:rsidRDefault="008C4184" w:rsidP="008C4184">
                  <w:pPr>
                    <w:jc w:val="both"/>
                    <w:rPr>
                      <w:rFonts w:ascii="Carlito" w:hAnsi="Carlito"/>
                      <w:sz w:val="20"/>
                      <w:szCs w:val="20"/>
                    </w:rPr>
                  </w:pPr>
                  <w:r w:rsidRPr="008063BF">
                    <w:rPr>
                      <w:rFonts w:ascii="Carlito" w:hAnsi="Carlito" w:cs="Times New Roman"/>
                      <w:sz w:val="20"/>
                      <w:szCs w:val="20"/>
                    </w:rPr>
                    <w:t xml:space="preserve">Use of Force in International Law – </w:t>
                  </w:r>
                  <w:r w:rsidR="001D7BB4" w:rsidRPr="008063BF">
                    <w:rPr>
                      <w:rFonts w:ascii="Carlito" w:hAnsi="Carlito" w:cs="Times New Roman"/>
                      <w:sz w:val="20"/>
                      <w:szCs w:val="20"/>
                    </w:rPr>
                    <w:t>II</w:t>
                  </w:r>
                </w:p>
              </w:tc>
            </w:tr>
            <w:tr w:rsidR="008C4184" w:rsidRPr="008063BF" w14:paraId="73FCE1C6" w14:textId="77777777" w:rsidTr="00651F0F">
              <w:tc>
                <w:tcPr>
                  <w:tcW w:w="1024" w:type="dxa"/>
                </w:tcPr>
                <w:p w14:paraId="4FBD2A9C" w14:textId="77C2F814" w:rsidR="008C4184" w:rsidRPr="008063BF" w:rsidRDefault="008C4184" w:rsidP="008C4184">
                  <w:pPr>
                    <w:jc w:val="both"/>
                    <w:rPr>
                      <w:rFonts w:ascii="Carlito" w:hAnsi="Carlito"/>
                      <w:sz w:val="20"/>
                      <w:szCs w:val="20"/>
                    </w:rPr>
                  </w:pPr>
                  <w:r w:rsidRPr="008063BF">
                    <w:rPr>
                      <w:rFonts w:ascii="Carlito" w:hAnsi="Carlito"/>
                      <w:sz w:val="20"/>
                      <w:szCs w:val="20"/>
                    </w:rPr>
                    <w:t>4. Week</w:t>
                  </w:r>
                </w:p>
              </w:tc>
              <w:tc>
                <w:tcPr>
                  <w:tcW w:w="7786" w:type="dxa"/>
                </w:tcPr>
                <w:p w14:paraId="27188D99" w14:textId="2169CD7F" w:rsidR="008C4184" w:rsidRPr="008063BF" w:rsidRDefault="008C4184" w:rsidP="008C4184">
                  <w:pPr>
                    <w:jc w:val="both"/>
                    <w:rPr>
                      <w:rFonts w:ascii="Carlito" w:hAnsi="Carlito"/>
                      <w:sz w:val="20"/>
                      <w:szCs w:val="20"/>
                    </w:rPr>
                  </w:pPr>
                  <w:r w:rsidRPr="008063BF">
                    <w:rPr>
                      <w:rFonts w:ascii="Carlito" w:hAnsi="Carlito" w:cs="Times New Roman"/>
                      <w:sz w:val="20"/>
                      <w:szCs w:val="20"/>
                    </w:rPr>
                    <w:t>Jus in Bello</w:t>
                  </w:r>
                </w:p>
              </w:tc>
            </w:tr>
            <w:tr w:rsidR="008C4184" w:rsidRPr="008063BF" w14:paraId="668D5AA6" w14:textId="77777777" w:rsidTr="00651F0F">
              <w:tc>
                <w:tcPr>
                  <w:tcW w:w="1024" w:type="dxa"/>
                </w:tcPr>
                <w:p w14:paraId="476E55CD" w14:textId="4E5A4658" w:rsidR="008C4184" w:rsidRPr="008063BF" w:rsidRDefault="008C4184" w:rsidP="008C4184">
                  <w:pPr>
                    <w:jc w:val="both"/>
                    <w:rPr>
                      <w:rFonts w:ascii="Carlito" w:hAnsi="Carlito"/>
                      <w:sz w:val="20"/>
                      <w:szCs w:val="20"/>
                    </w:rPr>
                  </w:pPr>
                  <w:r w:rsidRPr="008063BF">
                    <w:rPr>
                      <w:rFonts w:ascii="Carlito" w:hAnsi="Carlito"/>
                      <w:sz w:val="20"/>
                      <w:szCs w:val="20"/>
                    </w:rPr>
                    <w:t>5. Week</w:t>
                  </w:r>
                </w:p>
              </w:tc>
              <w:tc>
                <w:tcPr>
                  <w:tcW w:w="7786" w:type="dxa"/>
                </w:tcPr>
                <w:p w14:paraId="6EDE7076" w14:textId="72FD543B" w:rsidR="008C4184" w:rsidRPr="008063BF" w:rsidRDefault="008C4184" w:rsidP="008C4184">
                  <w:pPr>
                    <w:jc w:val="both"/>
                    <w:rPr>
                      <w:rFonts w:ascii="Carlito" w:hAnsi="Carlito"/>
                      <w:sz w:val="20"/>
                      <w:szCs w:val="20"/>
                    </w:rPr>
                  </w:pPr>
                  <w:r w:rsidRPr="008063BF">
                    <w:rPr>
                      <w:rFonts w:ascii="Carlito" w:hAnsi="Carlito" w:cs="Times New Roman"/>
                      <w:sz w:val="20"/>
                      <w:szCs w:val="20"/>
                    </w:rPr>
                    <w:t>International Human Rights Law</w:t>
                  </w:r>
                </w:p>
              </w:tc>
            </w:tr>
            <w:tr w:rsidR="008C4184" w:rsidRPr="008063BF" w14:paraId="3A75AAFD" w14:textId="77777777" w:rsidTr="00651F0F">
              <w:tc>
                <w:tcPr>
                  <w:tcW w:w="1024" w:type="dxa"/>
                </w:tcPr>
                <w:p w14:paraId="57DB6ED7" w14:textId="360D2BCB" w:rsidR="008C4184" w:rsidRPr="008063BF" w:rsidRDefault="008C4184" w:rsidP="008C4184">
                  <w:pPr>
                    <w:jc w:val="both"/>
                    <w:rPr>
                      <w:rFonts w:ascii="Carlito" w:hAnsi="Carlito"/>
                      <w:sz w:val="20"/>
                      <w:szCs w:val="20"/>
                    </w:rPr>
                  </w:pPr>
                  <w:r w:rsidRPr="008063BF">
                    <w:rPr>
                      <w:rFonts w:ascii="Carlito" w:hAnsi="Carlito"/>
                      <w:sz w:val="20"/>
                      <w:szCs w:val="20"/>
                    </w:rPr>
                    <w:t>6. Week</w:t>
                  </w:r>
                </w:p>
              </w:tc>
              <w:tc>
                <w:tcPr>
                  <w:tcW w:w="7786" w:type="dxa"/>
                </w:tcPr>
                <w:p w14:paraId="18381476" w14:textId="7B954621" w:rsidR="008C4184" w:rsidRPr="008063BF" w:rsidRDefault="008C4184" w:rsidP="008C4184">
                  <w:pPr>
                    <w:jc w:val="both"/>
                    <w:rPr>
                      <w:rFonts w:ascii="Carlito" w:hAnsi="Carlito"/>
                      <w:sz w:val="20"/>
                      <w:szCs w:val="20"/>
                    </w:rPr>
                  </w:pPr>
                  <w:r w:rsidRPr="008063BF">
                    <w:rPr>
                      <w:rFonts w:ascii="Carlito" w:hAnsi="Carlito" w:cs="Times New Roman"/>
                      <w:sz w:val="20"/>
                      <w:szCs w:val="20"/>
                    </w:rPr>
                    <w:t>International Law of the Sea</w:t>
                  </w:r>
                </w:p>
              </w:tc>
            </w:tr>
            <w:tr w:rsidR="008C4184" w:rsidRPr="008063BF" w14:paraId="6B71A7E3" w14:textId="77777777" w:rsidTr="00651F0F">
              <w:tc>
                <w:tcPr>
                  <w:tcW w:w="1024" w:type="dxa"/>
                </w:tcPr>
                <w:p w14:paraId="4F2D879F" w14:textId="23D8E40C" w:rsidR="008C4184" w:rsidRPr="008063BF" w:rsidRDefault="008C4184" w:rsidP="008C4184">
                  <w:pPr>
                    <w:jc w:val="both"/>
                    <w:rPr>
                      <w:rFonts w:ascii="Carlito" w:hAnsi="Carlito"/>
                      <w:sz w:val="20"/>
                      <w:szCs w:val="20"/>
                    </w:rPr>
                  </w:pPr>
                  <w:r w:rsidRPr="008063BF">
                    <w:rPr>
                      <w:rFonts w:ascii="Carlito" w:hAnsi="Carlito"/>
                      <w:sz w:val="20"/>
                      <w:szCs w:val="20"/>
                    </w:rPr>
                    <w:t>7. Week</w:t>
                  </w:r>
                </w:p>
              </w:tc>
              <w:tc>
                <w:tcPr>
                  <w:tcW w:w="7786" w:type="dxa"/>
                </w:tcPr>
                <w:p w14:paraId="20B8C531" w14:textId="28B05301" w:rsidR="008C4184" w:rsidRPr="008063BF" w:rsidRDefault="008C4184" w:rsidP="008C4184">
                  <w:pPr>
                    <w:jc w:val="both"/>
                    <w:rPr>
                      <w:rFonts w:ascii="Carlito" w:hAnsi="Carlito"/>
                      <w:sz w:val="20"/>
                      <w:szCs w:val="20"/>
                    </w:rPr>
                  </w:pPr>
                  <w:r w:rsidRPr="008063BF">
                    <w:rPr>
                      <w:rFonts w:ascii="Carlito" w:hAnsi="Carlito" w:cs="Times New Roman"/>
                      <w:sz w:val="20"/>
                      <w:szCs w:val="20"/>
                    </w:rPr>
                    <w:t>Air and Space Law</w:t>
                  </w:r>
                </w:p>
              </w:tc>
            </w:tr>
            <w:tr w:rsidR="008C4184" w:rsidRPr="008063BF" w14:paraId="5339304A" w14:textId="77777777" w:rsidTr="00651F0F">
              <w:tc>
                <w:tcPr>
                  <w:tcW w:w="1024" w:type="dxa"/>
                </w:tcPr>
                <w:p w14:paraId="0242AD6C" w14:textId="79207C72" w:rsidR="008C4184" w:rsidRPr="008063BF" w:rsidRDefault="008C4184" w:rsidP="008C4184">
                  <w:pPr>
                    <w:jc w:val="both"/>
                    <w:rPr>
                      <w:rFonts w:ascii="Carlito" w:hAnsi="Carlito"/>
                      <w:sz w:val="20"/>
                      <w:szCs w:val="20"/>
                    </w:rPr>
                  </w:pPr>
                  <w:r w:rsidRPr="008063BF">
                    <w:rPr>
                      <w:rFonts w:ascii="Carlito" w:hAnsi="Carlito"/>
                      <w:sz w:val="20"/>
                      <w:szCs w:val="20"/>
                    </w:rPr>
                    <w:t>8. Week</w:t>
                  </w:r>
                </w:p>
              </w:tc>
              <w:tc>
                <w:tcPr>
                  <w:tcW w:w="7786" w:type="dxa"/>
                </w:tcPr>
                <w:p w14:paraId="5303C8BF" w14:textId="0F6D2050" w:rsidR="008C4184" w:rsidRPr="008063BF" w:rsidRDefault="008C4184" w:rsidP="008C4184">
                  <w:pPr>
                    <w:jc w:val="both"/>
                    <w:rPr>
                      <w:rFonts w:ascii="Carlito" w:hAnsi="Carlito"/>
                      <w:sz w:val="20"/>
                      <w:szCs w:val="20"/>
                    </w:rPr>
                  </w:pPr>
                  <w:r w:rsidRPr="008063BF">
                    <w:rPr>
                      <w:rFonts w:ascii="Carlito" w:hAnsi="Carlito" w:cs="Times New Roman"/>
                      <w:i/>
                      <w:sz w:val="20"/>
                      <w:szCs w:val="20"/>
                    </w:rPr>
                    <w:t>Midterm Exam</w:t>
                  </w:r>
                </w:p>
              </w:tc>
            </w:tr>
            <w:tr w:rsidR="008C4184" w:rsidRPr="008063BF" w14:paraId="086A26ED" w14:textId="77777777" w:rsidTr="00651F0F">
              <w:tc>
                <w:tcPr>
                  <w:tcW w:w="1024" w:type="dxa"/>
                </w:tcPr>
                <w:p w14:paraId="53FE5CC0" w14:textId="02B6E4C2" w:rsidR="008C4184" w:rsidRPr="008063BF" w:rsidRDefault="008C4184" w:rsidP="008C4184">
                  <w:pPr>
                    <w:jc w:val="both"/>
                    <w:rPr>
                      <w:rFonts w:ascii="Carlito" w:hAnsi="Carlito"/>
                      <w:sz w:val="20"/>
                      <w:szCs w:val="20"/>
                    </w:rPr>
                  </w:pPr>
                  <w:r w:rsidRPr="008063BF">
                    <w:rPr>
                      <w:rFonts w:ascii="Carlito" w:hAnsi="Carlito"/>
                      <w:sz w:val="20"/>
                      <w:szCs w:val="20"/>
                    </w:rPr>
                    <w:t>9. Week</w:t>
                  </w:r>
                </w:p>
              </w:tc>
              <w:tc>
                <w:tcPr>
                  <w:tcW w:w="7786" w:type="dxa"/>
                </w:tcPr>
                <w:p w14:paraId="603911BB" w14:textId="687D5375" w:rsidR="008C4184" w:rsidRPr="008063BF" w:rsidRDefault="008C4184" w:rsidP="008C4184">
                  <w:pPr>
                    <w:jc w:val="both"/>
                    <w:rPr>
                      <w:rFonts w:ascii="Carlito" w:hAnsi="Carlito"/>
                      <w:sz w:val="20"/>
                      <w:szCs w:val="20"/>
                    </w:rPr>
                  </w:pPr>
                  <w:r w:rsidRPr="008063BF">
                    <w:rPr>
                      <w:rFonts w:ascii="Carlito" w:hAnsi="Carlito" w:cs="Times New Roman"/>
                      <w:sz w:val="20"/>
                      <w:szCs w:val="20"/>
                    </w:rPr>
                    <w:t>General Principles of Citizenship Law and Turkish Citizenship Law</w:t>
                  </w:r>
                </w:p>
              </w:tc>
            </w:tr>
            <w:tr w:rsidR="008C4184" w:rsidRPr="008063BF" w14:paraId="2875823C" w14:textId="77777777" w:rsidTr="00651F0F">
              <w:tc>
                <w:tcPr>
                  <w:tcW w:w="1024" w:type="dxa"/>
                </w:tcPr>
                <w:p w14:paraId="6B640C77" w14:textId="6FF93DC7" w:rsidR="008C4184" w:rsidRPr="008063BF" w:rsidRDefault="008C4184" w:rsidP="008C4184">
                  <w:pPr>
                    <w:jc w:val="both"/>
                    <w:rPr>
                      <w:rFonts w:ascii="Carlito" w:hAnsi="Carlito"/>
                      <w:sz w:val="20"/>
                      <w:szCs w:val="20"/>
                    </w:rPr>
                  </w:pPr>
                  <w:r w:rsidRPr="008063BF">
                    <w:rPr>
                      <w:rFonts w:ascii="Carlito" w:hAnsi="Carlito"/>
                      <w:sz w:val="20"/>
                      <w:szCs w:val="20"/>
                    </w:rPr>
                    <w:t>10. Week</w:t>
                  </w:r>
                </w:p>
              </w:tc>
              <w:tc>
                <w:tcPr>
                  <w:tcW w:w="7786" w:type="dxa"/>
                </w:tcPr>
                <w:p w14:paraId="783F1E2C" w14:textId="2AF7AAC3" w:rsidR="008C4184" w:rsidRPr="008063BF" w:rsidRDefault="008C4184" w:rsidP="008C4184">
                  <w:pPr>
                    <w:jc w:val="both"/>
                    <w:rPr>
                      <w:rFonts w:ascii="Carlito" w:hAnsi="Carlito"/>
                      <w:sz w:val="20"/>
                      <w:szCs w:val="20"/>
                    </w:rPr>
                  </w:pPr>
                  <w:r w:rsidRPr="008063BF">
                    <w:rPr>
                      <w:rFonts w:ascii="Carlito" w:hAnsi="Carlito" w:cs="Times New Roman"/>
                      <w:sz w:val="20"/>
                      <w:szCs w:val="20"/>
                    </w:rPr>
                    <w:t>Original Acquisition of Turkish Citizenship</w:t>
                  </w:r>
                </w:p>
              </w:tc>
            </w:tr>
            <w:tr w:rsidR="008C4184" w:rsidRPr="008063BF" w14:paraId="4CFD8761" w14:textId="77777777" w:rsidTr="00651F0F">
              <w:tc>
                <w:tcPr>
                  <w:tcW w:w="1024" w:type="dxa"/>
                </w:tcPr>
                <w:p w14:paraId="3F120233" w14:textId="4457AB86" w:rsidR="008C4184" w:rsidRPr="008063BF" w:rsidRDefault="008C4184" w:rsidP="008C4184">
                  <w:pPr>
                    <w:jc w:val="both"/>
                    <w:rPr>
                      <w:rFonts w:ascii="Carlito" w:hAnsi="Carlito"/>
                      <w:sz w:val="20"/>
                      <w:szCs w:val="20"/>
                    </w:rPr>
                  </w:pPr>
                  <w:r w:rsidRPr="008063BF">
                    <w:rPr>
                      <w:rFonts w:ascii="Carlito" w:hAnsi="Carlito"/>
                      <w:sz w:val="20"/>
                      <w:szCs w:val="20"/>
                    </w:rPr>
                    <w:t>11. Week</w:t>
                  </w:r>
                </w:p>
              </w:tc>
              <w:tc>
                <w:tcPr>
                  <w:tcW w:w="7786" w:type="dxa"/>
                </w:tcPr>
                <w:p w14:paraId="30EB4687" w14:textId="7A5ECCF5" w:rsidR="008C4184" w:rsidRPr="008063BF" w:rsidRDefault="008C4184" w:rsidP="008C4184">
                  <w:pPr>
                    <w:jc w:val="both"/>
                    <w:rPr>
                      <w:rFonts w:ascii="Carlito" w:hAnsi="Carlito"/>
                      <w:sz w:val="20"/>
                      <w:szCs w:val="20"/>
                    </w:rPr>
                  </w:pPr>
                  <w:r w:rsidRPr="008063BF">
                    <w:rPr>
                      <w:rFonts w:ascii="Carlito" w:hAnsi="Carlito" w:cs="Times New Roman"/>
                      <w:sz w:val="20"/>
                      <w:szCs w:val="20"/>
                    </w:rPr>
                    <w:t>Subsequent Acquisition of Turkish Citizenship</w:t>
                  </w:r>
                </w:p>
              </w:tc>
            </w:tr>
            <w:tr w:rsidR="008C4184" w:rsidRPr="008063BF" w14:paraId="238A262F" w14:textId="77777777" w:rsidTr="00651F0F">
              <w:tc>
                <w:tcPr>
                  <w:tcW w:w="1024" w:type="dxa"/>
                </w:tcPr>
                <w:p w14:paraId="353F6204" w14:textId="51E6C8D2" w:rsidR="008C4184" w:rsidRPr="008063BF" w:rsidRDefault="008C4184" w:rsidP="008C4184">
                  <w:pPr>
                    <w:jc w:val="both"/>
                    <w:rPr>
                      <w:rFonts w:ascii="Carlito" w:hAnsi="Carlito"/>
                      <w:sz w:val="20"/>
                      <w:szCs w:val="20"/>
                    </w:rPr>
                  </w:pPr>
                  <w:r w:rsidRPr="008063BF">
                    <w:rPr>
                      <w:rFonts w:ascii="Carlito" w:hAnsi="Carlito"/>
                      <w:sz w:val="20"/>
                      <w:szCs w:val="20"/>
                    </w:rPr>
                    <w:t>12. Week</w:t>
                  </w:r>
                </w:p>
              </w:tc>
              <w:tc>
                <w:tcPr>
                  <w:tcW w:w="7786" w:type="dxa"/>
                </w:tcPr>
                <w:p w14:paraId="5B9FFBC2" w14:textId="6137F640" w:rsidR="008C4184" w:rsidRPr="008063BF" w:rsidRDefault="008C4184" w:rsidP="008C4184">
                  <w:pPr>
                    <w:jc w:val="both"/>
                    <w:rPr>
                      <w:rFonts w:ascii="Carlito" w:hAnsi="Carlito"/>
                      <w:sz w:val="20"/>
                      <w:szCs w:val="20"/>
                    </w:rPr>
                  </w:pPr>
                  <w:r w:rsidRPr="008063BF">
                    <w:rPr>
                      <w:rFonts w:ascii="Carlito" w:hAnsi="Carlito" w:cs="Times New Roman"/>
                      <w:sz w:val="20"/>
                      <w:szCs w:val="20"/>
                    </w:rPr>
                    <w:t>Loss of Turkish Citizenship (by one</w:t>
                  </w:r>
                  <w:r w:rsidR="008063BF" w:rsidRPr="008063BF">
                    <w:rPr>
                      <w:rFonts w:ascii="Carlito" w:hAnsi="Carlito" w:cs="Times New Roman"/>
                      <w:sz w:val="20"/>
                      <w:szCs w:val="20"/>
                    </w:rPr>
                    <w:t>’</w:t>
                  </w:r>
                  <w:r w:rsidRPr="008063BF">
                    <w:rPr>
                      <w:rFonts w:ascii="Carlito" w:hAnsi="Carlito" w:cs="Times New Roman"/>
                      <w:sz w:val="20"/>
                      <w:szCs w:val="20"/>
                    </w:rPr>
                    <w:t>s will)</w:t>
                  </w:r>
                </w:p>
              </w:tc>
            </w:tr>
            <w:tr w:rsidR="008C4184" w:rsidRPr="008063BF" w14:paraId="1B337996" w14:textId="77777777" w:rsidTr="00651F0F">
              <w:tc>
                <w:tcPr>
                  <w:tcW w:w="1024" w:type="dxa"/>
                </w:tcPr>
                <w:p w14:paraId="05E79159" w14:textId="796E7069" w:rsidR="008C4184" w:rsidRPr="008063BF" w:rsidRDefault="008C4184" w:rsidP="008C4184">
                  <w:pPr>
                    <w:jc w:val="both"/>
                    <w:rPr>
                      <w:rFonts w:ascii="Carlito" w:hAnsi="Carlito"/>
                      <w:sz w:val="20"/>
                      <w:szCs w:val="20"/>
                    </w:rPr>
                  </w:pPr>
                  <w:r w:rsidRPr="008063BF">
                    <w:rPr>
                      <w:rFonts w:ascii="Carlito" w:hAnsi="Carlito"/>
                      <w:sz w:val="20"/>
                      <w:szCs w:val="20"/>
                    </w:rPr>
                    <w:t>13. Week</w:t>
                  </w:r>
                </w:p>
              </w:tc>
              <w:tc>
                <w:tcPr>
                  <w:tcW w:w="7786" w:type="dxa"/>
                </w:tcPr>
                <w:p w14:paraId="1FBFC69F" w14:textId="79ECB019" w:rsidR="008C4184" w:rsidRPr="008063BF" w:rsidRDefault="008C4184" w:rsidP="008C4184">
                  <w:pPr>
                    <w:jc w:val="both"/>
                    <w:rPr>
                      <w:rFonts w:ascii="Carlito" w:hAnsi="Carlito"/>
                      <w:sz w:val="20"/>
                      <w:szCs w:val="20"/>
                    </w:rPr>
                  </w:pPr>
                  <w:r w:rsidRPr="008063BF">
                    <w:rPr>
                      <w:rFonts w:ascii="Carlito" w:hAnsi="Carlito" w:cs="Times New Roman"/>
                      <w:sz w:val="20"/>
                      <w:szCs w:val="20"/>
                    </w:rPr>
                    <w:t>Loss of Turkish Citizenship (against one</w:t>
                  </w:r>
                  <w:r w:rsidR="008063BF" w:rsidRPr="008063BF">
                    <w:rPr>
                      <w:rFonts w:ascii="Carlito" w:hAnsi="Carlito" w:cs="Times New Roman"/>
                      <w:sz w:val="20"/>
                      <w:szCs w:val="20"/>
                    </w:rPr>
                    <w:t>’</w:t>
                  </w:r>
                  <w:r w:rsidRPr="008063BF">
                    <w:rPr>
                      <w:rFonts w:ascii="Carlito" w:hAnsi="Carlito" w:cs="Times New Roman"/>
                      <w:sz w:val="20"/>
                      <w:szCs w:val="20"/>
                    </w:rPr>
                    <w:t>s will)</w:t>
                  </w:r>
                </w:p>
              </w:tc>
            </w:tr>
            <w:tr w:rsidR="008C4184" w:rsidRPr="008063BF" w14:paraId="4E57598D" w14:textId="77777777" w:rsidTr="00651F0F">
              <w:tc>
                <w:tcPr>
                  <w:tcW w:w="1024" w:type="dxa"/>
                </w:tcPr>
                <w:p w14:paraId="20CC2F55" w14:textId="292320B8" w:rsidR="008C4184" w:rsidRPr="008063BF" w:rsidRDefault="008C4184" w:rsidP="008C4184">
                  <w:pPr>
                    <w:jc w:val="both"/>
                    <w:rPr>
                      <w:rFonts w:ascii="Carlito" w:hAnsi="Carlito"/>
                      <w:sz w:val="20"/>
                      <w:szCs w:val="20"/>
                    </w:rPr>
                  </w:pPr>
                  <w:r w:rsidRPr="008063BF">
                    <w:rPr>
                      <w:rFonts w:ascii="Carlito" w:hAnsi="Carlito"/>
                      <w:sz w:val="20"/>
                      <w:szCs w:val="20"/>
                    </w:rPr>
                    <w:t>14. Week</w:t>
                  </w:r>
                </w:p>
              </w:tc>
              <w:tc>
                <w:tcPr>
                  <w:tcW w:w="7786" w:type="dxa"/>
                </w:tcPr>
                <w:p w14:paraId="5440A06D" w14:textId="6FE7EDFB" w:rsidR="008C4184" w:rsidRPr="008063BF" w:rsidRDefault="008C4184" w:rsidP="008C4184">
                  <w:pPr>
                    <w:jc w:val="both"/>
                    <w:rPr>
                      <w:rFonts w:ascii="Carlito" w:hAnsi="Carlito"/>
                      <w:sz w:val="20"/>
                      <w:szCs w:val="20"/>
                    </w:rPr>
                  </w:pPr>
                  <w:r w:rsidRPr="008063BF">
                    <w:rPr>
                      <w:rFonts w:ascii="Carlito" w:hAnsi="Carlito" w:cs="Times New Roman"/>
                      <w:sz w:val="20"/>
                      <w:szCs w:val="20"/>
                    </w:rPr>
                    <w:t>Nationality of Legal Persons and “Things”</w:t>
                  </w:r>
                </w:p>
              </w:tc>
            </w:tr>
            <w:tr w:rsidR="008C4184" w:rsidRPr="008063BF" w14:paraId="0A7F942A" w14:textId="77777777" w:rsidTr="00651F0F">
              <w:tc>
                <w:tcPr>
                  <w:tcW w:w="1024" w:type="dxa"/>
                </w:tcPr>
                <w:p w14:paraId="08135BE7" w14:textId="107D7081" w:rsidR="008C4184" w:rsidRPr="008063BF" w:rsidRDefault="008C4184" w:rsidP="008C4184">
                  <w:pPr>
                    <w:jc w:val="both"/>
                    <w:rPr>
                      <w:rFonts w:ascii="Carlito" w:hAnsi="Carlito"/>
                      <w:sz w:val="20"/>
                      <w:szCs w:val="20"/>
                    </w:rPr>
                  </w:pPr>
                  <w:r w:rsidRPr="008063BF">
                    <w:rPr>
                      <w:rFonts w:ascii="Carlito" w:hAnsi="Carlito"/>
                      <w:sz w:val="20"/>
                      <w:szCs w:val="20"/>
                    </w:rPr>
                    <w:t>15. Week</w:t>
                  </w:r>
                </w:p>
              </w:tc>
              <w:tc>
                <w:tcPr>
                  <w:tcW w:w="7786" w:type="dxa"/>
                </w:tcPr>
                <w:p w14:paraId="69B9730C" w14:textId="2FA1B5A3" w:rsidR="008C4184" w:rsidRPr="008063BF" w:rsidRDefault="008C4184" w:rsidP="008C4184">
                  <w:pPr>
                    <w:jc w:val="both"/>
                    <w:rPr>
                      <w:rFonts w:ascii="Carlito" w:hAnsi="Carlito"/>
                      <w:sz w:val="20"/>
                      <w:szCs w:val="20"/>
                    </w:rPr>
                  </w:pPr>
                  <w:r w:rsidRPr="008063BF">
                    <w:rPr>
                      <w:rFonts w:ascii="Carlito" w:hAnsi="Carlito" w:cs="Times New Roman"/>
                      <w:sz w:val="20"/>
                      <w:szCs w:val="20"/>
                    </w:rPr>
                    <w:t>General Overview and Practice</w:t>
                  </w:r>
                </w:p>
              </w:tc>
            </w:tr>
          </w:tbl>
          <w:p w14:paraId="00084DD6" w14:textId="46124FFA" w:rsidR="00EF389B" w:rsidRPr="008063BF" w:rsidRDefault="00EF389B" w:rsidP="00EF389B">
            <w:pPr>
              <w:jc w:val="both"/>
              <w:rPr>
                <w:rFonts w:ascii="Carlito" w:hAnsi="Carlito"/>
                <w:sz w:val="20"/>
                <w:szCs w:val="20"/>
              </w:rPr>
            </w:pPr>
          </w:p>
        </w:tc>
      </w:tr>
      <w:tr w:rsidR="002E6734" w:rsidRPr="008063BF" w14:paraId="66C1755B" w14:textId="77777777" w:rsidTr="002E6734">
        <w:trPr>
          <w:trHeight w:val="2567"/>
        </w:trPr>
        <w:tc>
          <w:tcPr>
            <w:tcW w:w="1522" w:type="dxa"/>
            <w:vAlign w:val="center"/>
          </w:tcPr>
          <w:p w14:paraId="7B649EC8" w14:textId="0BCBACAA" w:rsidR="002E6734" w:rsidRPr="008063BF" w:rsidRDefault="002E6734" w:rsidP="002E6734">
            <w:pPr>
              <w:pStyle w:val="TableParagraph"/>
              <w:ind w:right="359"/>
              <w:jc w:val="center"/>
              <w:rPr>
                <w:b/>
                <w:sz w:val="20"/>
                <w:szCs w:val="20"/>
              </w:rPr>
            </w:pPr>
            <w:r w:rsidRPr="008063BF">
              <w:rPr>
                <w:b/>
                <w:spacing w:val="-2"/>
                <w:sz w:val="20"/>
                <w:szCs w:val="20"/>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8063BF" w14:paraId="131D7CFC" w14:textId="77777777" w:rsidTr="0096113A">
              <w:trPr>
                <w:trHeight w:val="404"/>
              </w:trPr>
              <w:tc>
                <w:tcPr>
                  <w:tcW w:w="3019" w:type="dxa"/>
                </w:tcPr>
                <w:p w14:paraId="5D92B517" w14:textId="7165B400" w:rsidR="002E6734" w:rsidRPr="008063BF" w:rsidRDefault="002E6734" w:rsidP="002E6734">
                  <w:pPr>
                    <w:rPr>
                      <w:rFonts w:ascii="Carlito" w:hAnsi="Carlito" w:cs="Calibri"/>
                      <w:b/>
                      <w:bCs/>
                      <w:sz w:val="20"/>
                      <w:szCs w:val="20"/>
                    </w:rPr>
                  </w:pPr>
                  <w:r w:rsidRPr="008063BF">
                    <w:rPr>
                      <w:rFonts w:ascii="Carlito" w:eastAsia="Times New Roman" w:hAnsi="Carlito" w:cs="Calibri"/>
                      <w:b/>
                      <w:bCs/>
                      <w:color w:val="3B3A36"/>
                      <w:sz w:val="20"/>
                      <w:szCs w:val="20"/>
                      <w:lang w:eastAsia="tr-TR"/>
                    </w:rPr>
                    <w:t>In-Term Studies</w:t>
                  </w:r>
                </w:p>
              </w:tc>
              <w:tc>
                <w:tcPr>
                  <w:tcW w:w="3019" w:type="dxa"/>
                </w:tcPr>
                <w:p w14:paraId="603A19A2" w14:textId="7C6694A6" w:rsidR="002E6734" w:rsidRPr="008063BF" w:rsidRDefault="002E6734" w:rsidP="002E6734">
                  <w:pPr>
                    <w:rPr>
                      <w:rFonts w:ascii="Carlito" w:hAnsi="Carlito" w:cs="Calibri"/>
                      <w:b/>
                      <w:bCs/>
                      <w:sz w:val="20"/>
                      <w:szCs w:val="20"/>
                    </w:rPr>
                  </w:pPr>
                  <w:r w:rsidRPr="008063BF">
                    <w:rPr>
                      <w:rFonts w:ascii="Carlito" w:eastAsia="Times New Roman" w:hAnsi="Carlito" w:cs="Calibri"/>
                      <w:b/>
                      <w:bCs/>
                      <w:color w:val="3B3A36"/>
                      <w:sz w:val="20"/>
                      <w:szCs w:val="20"/>
                      <w:lang w:eastAsia="tr-TR"/>
                    </w:rPr>
                    <w:t>Quantity</w:t>
                  </w:r>
                </w:p>
              </w:tc>
              <w:tc>
                <w:tcPr>
                  <w:tcW w:w="3020" w:type="dxa"/>
                </w:tcPr>
                <w:p w14:paraId="2FF6335E" w14:textId="278B485D" w:rsidR="002E6734" w:rsidRPr="008063BF" w:rsidRDefault="002E6734" w:rsidP="002E6734">
                  <w:pPr>
                    <w:rPr>
                      <w:rFonts w:ascii="Carlito" w:hAnsi="Carlito" w:cs="Calibri"/>
                      <w:b/>
                      <w:bCs/>
                      <w:sz w:val="20"/>
                      <w:szCs w:val="20"/>
                    </w:rPr>
                  </w:pPr>
                  <w:r w:rsidRPr="008063BF">
                    <w:rPr>
                      <w:rFonts w:ascii="Carlito" w:eastAsia="Times New Roman" w:hAnsi="Carlito" w:cs="Calibri"/>
                      <w:b/>
                      <w:bCs/>
                      <w:color w:val="3B3A36"/>
                      <w:sz w:val="20"/>
                      <w:szCs w:val="20"/>
                      <w:lang w:eastAsia="tr-TR"/>
                    </w:rPr>
                    <w:t>Percentage %</w:t>
                  </w:r>
                </w:p>
              </w:tc>
            </w:tr>
            <w:tr w:rsidR="002E6734" w:rsidRPr="008063BF" w14:paraId="3EA86BA4" w14:textId="77777777" w:rsidTr="0096113A">
              <w:trPr>
                <w:trHeight w:val="384"/>
              </w:trPr>
              <w:tc>
                <w:tcPr>
                  <w:tcW w:w="3019" w:type="dxa"/>
                </w:tcPr>
                <w:p w14:paraId="6D508F3C" w14:textId="143B7095" w:rsidR="002E6734" w:rsidRPr="008063BF" w:rsidRDefault="002E6734" w:rsidP="002E6734">
                  <w:pPr>
                    <w:rPr>
                      <w:rFonts w:ascii="Carlito" w:hAnsi="Carlito" w:cs="Calibri"/>
                      <w:sz w:val="20"/>
                      <w:szCs w:val="20"/>
                    </w:rPr>
                  </w:pPr>
                  <w:r w:rsidRPr="008063BF">
                    <w:rPr>
                      <w:rFonts w:ascii="Carlito" w:eastAsia="Times New Roman" w:hAnsi="Carlito" w:cs="Calibri"/>
                      <w:color w:val="3A3A3A"/>
                      <w:sz w:val="20"/>
                      <w:szCs w:val="20"/>
                      <w:lang w:eastAsia="tr-TR"/>
                    </w:rPr>
                    <w:t>Mid-terms</w:t>
                  </w:r>
                </w:p>
              </w:tc>
              <w:tc>
                <w:tcPr>
                  <w:tcW w:w="3019" w:type="dxa"/>
                </w:tcPr>
                <w:p w14:paraId="4693D9C5" w14:textId="0539E36A" w:rsidR="002E6734" w:rsidRPr="008063BF" w:rsidRDefault="00CE0F09" w:rsidP="002E6734">
                  <w:pPr>
                    <w:rPr>
                      <w:rFonts w:ascii="Carlito" w:hAnsi="Carlito" w:cs="Calibri"/>
                      <w:sz w:val="20"/>
                      <w:szCs w:val="20"/>
                    </w:rPr>
                  </w:pPr>
                  <w:r w:rsidRPr="008063BF">
                    <w:rPr>
                      <w:rFonts w:ascii="Carlito" w:hAnsi="Carlito" w:cs="Calibri"/>
                      <w:sz w:val="20"/>
                      <w:szCs w:val="20"/>
                    </w:rPr>
                    <w:t>1</w:t>
                  </w:r>
                </w:p>
              </w:tc>
              <w:tc>
                <w:tcPr>
                  <w:tcW w:w="3020" w:type="dxa"/>
                </w:tcPr>
                <w:p w14:paraId="311646D7" w14:textId="5FB76B65" w:rsidR="002E6734" w:rsidRPr="008063BF" w:rsidRDefault="002E6734" w:rsidP="002E6734">
                  <w:pPr>
                    <w:rPr>
                      <w:rFonts w:ascii="Carlito" w:hAnsi="Carlito" w:cs="Calibri"/>
                      <w:sz w:val="20"/>
                      <w:szCs w:val="20"/>
                    </w:rPr>
                  </w:pPr>
                  <w:r w:rsidRPr="008063BF">
                    <w:rPr>
                      <w:rFonts w:ascii="Carlito" w:eastAsia="Times New Roman" w:hAnsi="Carlito" w:cs="Calibri"/>
                      <w:color w:val="3B3A36"/>
                      <w:sz w:val="20"/>
                      <w:szCs w:val="20"/>
                      <w:lang w:eastAsia="tr-TR"/>
                    </w:rPr>
                    <w:t>%</w:t>
                  </w:r>
                  <w:r w:rsidR="008C4184" w:rsidRPr="008063BF">
                    <w:rPr>
                      <w:rFonts w:ascii="Carlito" w:eastAsia="Times New Roman" w:hAnsi="Carlito" w:cs="Calibri"/>
                      <w:color w:val="3B3A36"/>
                      <w:sz w:val="20"/>
                      <w:szCs w:val="20"/>
                      <w:lang w:eastAsia="tr-TR"/>
                    </w:rPr>
                    <w:t xml:space="preserve"> 40</w:t>
                  </w:r>
                </w:p>
              </w:tc>
            </w:tr>
            <w:tr w:rsidR="002E6734" w:rsidRPr="008063BF" w14:paraId="365B2445" w14:textId="77777777" w:rsidTr="0096113A">
              <w:trPr>
                <w:trHeight w:val="404"/>
              </w:trPr>
              <w:tc>
                <w:tcPr>
                  <w:tcW w:w="3019" w:type="dxa"/>
                </w:tcPr>
                <w:p w14:paraId="5E363BA2" w14:textId="41AB5F07" w:rsidR="002E6734" w:rsidRPr="008063BF" w:rsidRDefault="002E6734" w:rsidP="002E6734">
                  <w:pPr>
                    <w:rPr>
                      <w:rFonts w:ascii="Carlito" w:hAnsi="Carlito" w:cs="Calibri"/>
                      <w:sz w:val="20"/>
                      <w:szCs w:val="20"/>
                    </w:rPr>
                  </w:pPr>
                  <w:r w:rsidRPr="008063BF">
                    <w:rPr>
                      <w:rFonts w:ascii="Carlito" w:eastAsia="Times New Roman" w:hAnsi="Carlito" w:cs="Calibri"/>
                      <w:color w:val="3A3A3A"/>
                      <w:sz w:val="20"/>
                      <w:szCs w:val="20"/>
                      <w:lang w:eastAsia="tr-TR"/>
                    </w:rPr>
                    <w:t>Quizzes</w:t>
                  </w:r>
                </w:p>
              </w:tc>
              <w:tc>
                <w:tcPr>
                  <w:tcW w:w="3019" w:type="dxa"/>
                </w:tcPr>
                <w:p w14:paraId="619A9383" w14:textId="736CF00B" w:rsidR="002E6734" w:rsidRPr="008063BF" w:rsidRDefault="002E6734" w:rsidP="002E6734">
                  <w:pPr>
                    <w:rPr>
                      <w:rFonts w:ascii="Carlito" w:hAnsi="Carlito" w:cs="Calibri"/>
                      <w:sz w:val="20"/>
                      <w:szCs w:val="20"/>
                    </w:rPr>
                  </w:pPr>
                </w:p>
              </w:tc>
              <w:tc>
                <w:tcPr>
                  <w:tcW w:w="3020" w:type="dxa"/>
                </w:tcPr>
                <w:p w14:paraId="0219E462" w14:textId="10212D51" w:rsidR="002E6734" w:rsidRPr="008063BF" w:rsidRDefault="002E6734" w:rsidP="002E6734">
                  <w:pPr>
                    <w:rPr>
                      <w:rFonts w:ascii="Carlito" w:hAnsi="Carlito" w:cs="Calibri"/>
                      <w:sz w:val="20"/>
                      <w:szCs w:val="20"/>
                    </w:rPr>
                  </w:pPr>
                  <w:r w:rsidRPr="008063BF">
                    <w:rPr>
                      <w:rFonts w:ascii="Carlito" w:eastAsia="Times New Roman" w:hAnsi="Carlito" w:cs="Calibri"/>
                      <w:color w:val="3B3A36"/>
                      <w:sz w:val="20"/>
                      <w:szCs w:val="20"/>
                      <w:lang w:eastAsia="tr-TR"/>
                    </w:rPr>
                    <w:t>%</w:t>
                  </w:r>
                </w:p>
              </w:tc>
            </w:tr>
            <w:tr w:rsidR="002E6734" w:rsidRPr="008063BF" w14:paraId="3F3324D8" w14:textId="77777777" w:rsidTr="0096113A">
              <w:trPr>
                <w:trHeight w:val="384"/>
              </w:trPr>
              <w:tc>
                <w:tcPr>
                  <w:tcW w:w="3019" w:type="dxa"/>
                </w:tcPr>
                <w:p w14:paraId="618B4C66" w14:textId="742095C2" w:rsidR="002E6734" w:rsidRPr="008063BF" w:rsidRDefault="002E6734" w:rsidP="002E6734">
                  <w:pPr>
                    <w:rPr>
                      <w:rFonts w:ascii="Carlito" w:hAnsi="Carlito" w:cs="Calibri"/>
                      <w:sz w:val="20"/>
                      <w:szCs w:val="20"/>
                    </w:rPr>
                  </w:pPr>
                  <w:r w:rsidRPr="008063BF">
                    <w:rPr>
                      <w:rFonts w:ascii="Carlito" w:hAnsi="Carlito" w:cs="Calibri"/>
                      <w:sz w:val="20"/>
                      <w:szCs w:val="20"/>
                    </w:rPr>
                    <w:t>Assignments</w:t>
                  </w:r>
                </w:p>
              </w:tc>
              <w:tc>
                <w:tcPr>
                  <w:tcW w:w="3019" w:type="dxa"/>
                </w:tcPr>
                <w:p w14:paraId="37FED406" w14:textId="2760C9F3" w:rsidR="002E6734" w:rsidRPr="008063BF" w:rsidRDefault="002E6734" w:rsidP="002E6734">
                  <w:pPr>
                    <w:rPr>
                      <w:rFonts w:ascii="Carlito" w:hAnsi="Carlito" w:cs="Calibri"/>
                      <w:sz w:val="20"/>
                      <w:szCs w:val="20"/>
                    </w:rPr>
                  </w:pPr>
                </w:p>
              </w:tc>
              <w:tc>
                <w:tcPr>
                  <w:tcW w:w="3020" w:type="dxa"/>
                </w:tcPr>
                <w:p w14:paraId="4618C465" w14:textId="49235AAB" w:rsidR="002E6734" w:rsidRPr="008063BF" w:rsidRDefault="002E6734" w:rsidP="002E6734">
                  <w:pPr>
                    <w:rPr>
                      <w:rFonts w:ascii="Carlito" w:hAnsi="Carlito" w:cs="Calibri"/>
                      <w:sz w:val="20"/>
                      <w:szCs w:val="20"/>
                    </w:rPr>
                  </w:pPr>
                  <w:r w:rsidRPr="008063BF">
                    <w:rPr>
                      <w:rFonts w:ascii="Carlito" w:eastAsia="Times New Roman" w:hAnsi="Carlito" w:cs="Calibri"/>
                      <w:color w:val="3B3A36"/>
                      <w:sz w:val="20"/>
                      <w:szCs w:val="20"/>
                      <w:lang w:eastAsia="tr-TR"/>
                    </w:rPr>
                    <w:t>%</w:t>
                  </w:r>
                </w:p>
              </w:tc>
            </w:tr>
            <w:tr w:rsidR="002E6734" w:rsidRPr="008063BF" w14:paraId="5CA2682A" w14:textId="77777777" w:rsidTr="0096113A">
              <w:trPr>
                <w:trHeight w:val="404"/>
              </w:trPr>
              <w:tc>
                <w:tcPr>
                  <w:tcW w:w="3019" w:type="dxa"/>
                </w:tcPr>
                <w:p w14:paraId="28193741" w14:textId="5ECB6015" w:rsidR="002E6734" w:rsidRPr="008063BF" w:rsidRDefault="002E6734" w:rsidP="002E6734">
                  <w:pPr>
                    <w:rPr>
                      <w:rFonts w:ascii="Carlito" w:hAnsi="Carlito" w:cs="Calibri"/>
                      <w:sz w:val="20"/>
                      <w:szCs w:val="20"/>
                    </w:rPr>
                  </w:pPr>
                  <w:r w:rsidRPr="008063BF">
                    <w:rPr>
                      <w:rFonts w:ascii="Carlito" w:hAnsi="Carlito" w:cs="Calibri"/>
                      <w:sz w:val="20"/>
                      <w:szCs w:val="20"/>
                    </w:rPr>
                    <w:t>Attendance</w:t>
                  </w:r>
                </w:p>
              </w:tc>
              <w:tc>
                <w:tcPr>
                  <w:tcW w:w="3019" w:type="dxa"/>
                </w:tcPr>
                <w:p w14:paraId="6A6988B6" w14:textId="397B576F" w:rsidR="002E6734" w:rsidRPr="008063BF" w:rsidRDefault="002E6734" w:rsidP="002E6734">
                  <w:pPr>
                    <w:rPr>
                      <w:rFonts w:ascii="Carlito" w:hAnsi="Carlito" w:cs="Calibri"/>
                      <w:sz w:val="20"/>
                      <w:szCs w:val="20"/>
                    </w:rPr>
                  </w:pPr>
                </w:p>
              </w:tc>
              <w:tc>
                <w:tcPr>
                  <w:tcW w:w="3020" w:type="dxa"/>
                </w:tcPr>
                <w:p w14:paraId="6DAE8E9F" w14:textId="61F0380A" w:rsidR="002E6734" w:rsidRPr="008063BF" w:rsidRDefault="002E6734" w:rsidP="002E6734">
                  <w:pPr>
                    <w:rPr>
                      <w:rFonts w:ascii="Carlito" w:hAnsi="Carlito" w:cs="Calibri"/>
                      <w:sz w:val="20"/>
                      <w:szCs w:val="20"/>
                    </w:rPr>
                  </w:pPr>
                  <w:r w:rsidRPr="008063BF">
                    <w:rPr>
                      <w:rFonts w:ascii="Carlito" w:eastAsia="Times New Roman" w:hAnsi="Carlito" w:cs="Calibri"/>
                      <w:color w:val="3B3A36"/>
                      <w:sz w:val="20"/>
                      <w:szCs w:val="20"/>
                      <w:lang w:eastAsia="tr-TR"/>
                    </w:rPr>
                    <w:t>%</w:t>
                  </w:r>
                </w:p>
              </w:tc>
            </w:tr>
            <w:tr w:rsidR="002E6734" w:rsidRPr="008063BF" w14:paraId="602751B2" w14:textId="77777777" w:rsidTr="0096113A">
              <w:trPr>
                <w:trHeight w:val="384"/>
              </w:trPr>
              <w:tc>
                <w:tcPr>
                  <w:tcW w:w="3019" w:type="dxa"/>
                </w:tcPr>
                <w:p w14:paraId="5D82FD94" w14:textId="6B73B1F9" w:rsidR="002E6734" w:rsidRPr="008063BF" w:rsidRDefault="002E6734" w:rsidP="002E6734">
                  <w:pPr>
                    <w:rPr>
                      <w:rFonts w:ascii="Carlito" w:hAnsi="Carlito" w:cs="Calibri"/>
                      <w:sz w:val="20"/>
                      <w:szCs w:val="20"/>
                    </w:rPr>
                  </w:pPr>
                  <w:r w:rsidRPr="008063BF">
                    <w:rPr>
                      <w:rFonts w:ascii="Carlito" w:eastAsia="Times New Roman" w:hAnsi="Carlito" w:cs="Calibri"/>
                      <w:color w:val="3A3A3A"/>
                      <w:sz w:val="20"/>
                      <w:szCs w:val="20"/>
                      <w:lang w:eastAsia="tr-TR"/>
                    </w:rPr>
                    <w:t>Practice</w:t>
                  </w:r>
                </w:p>
              </w:tc>
              <w:tc>
                <w:tcPr>
                  <w:tcW w:w="3019" w:type="dxa"/>
                </w:tcPr>
                <w:p w14:paraId="05470D4E" w14:textId="4730430C" w:rsidR="002E6734" w:rsidRPr="008063BF" w:rsidRDefault="002E6734" w:rsidP="002E6734">
                  <w:pPr>
                    <w:rPr>
                      <w:rFonts w:ascii="Carlito" w:hAnsi="Carlito" w:cs="Calibri"/>
                      <w:sz w:val="20"/>
                      <w:szCs w:val="20"/>
                    </w:rPr>
                  </w:pPr>
                </w:p>
              </w:tc>
              <w:tc>
                <w:tcPr>
                  <w:tcW w:w="3020" w:type="dxa"/>
                </w:tcPr>
                <w:p w14:paraId="11D62A74" w14:textId="4DF7BFAA" w:rsidR="002E6734" w:rsidRPr="008063BF" w:rsidRDefault="002E6734" w:rsidP="002E6734">
                  <w:pPr>
                    <w:rPr>
                      <w:rFonts w:ascii="Carlito" w:hAnsi="Carlito" w:cs="Calibri"/>
                      <w:sz w:val="20"/>
                      <w:szCs w:val="20"/>
                    </w:rPr>
                  </w:pPr>
                  <w:r w:rsidRPr="008063BF">
                    <w:rPr>
                      <w:rFonts w:ascii="Carlito" w:eastAsia="Times New Roman" w:hAnsi="Carlito" w:cs="Calibri"/>
                      <w:color w:val="3B3A36"/>
                      <w:sz w:val="20"/>
                      <w:szCs w:val="20"/>
                      <w:lang w:eastAsia="tr-TR"/>
                    </w:rPr>
                    <w:t>%</w:t>
                  </w:r>
                </w:p>
              </w:tc>
            </w:tr>
            <w:tr w:rsidR="002E6734" w:rsidRPr="008063BF" w14:paraId="7BD0F289" w14:textId="77777777" w:rsidTr="0096113A">
              <w:trPr>
                <w:trHeight w:val="404"/>
              </w:trPr>
              <w:tc>
                <w:tcPr>
                  <w:tcW w:w="3019" w:type="dxa"/>
                </w:tcPr>
                <w:p w14:paraId="5F760449" w14:textId="4B55BD27" w:rsidR="002E6734" w:rsidRPr="008063BF" w:rsidRDefault="002E6734" w:rsidP="002E6734">
                  <w:pPr>
                    <w:rPr>
                      <w:rFonts w:ascii="Carlito" w:hAnsi="Carlito" w:cs="Calibri"/>
                      <w:sz w:val="20"/>
                      <w:szCs w:val="20"/>
                    </w:rPr>
                  </w:pPr>
                  <w:r w:rsidRPr="008063BF">
                    <w:rPr>
                      <w:rFonts w:ascii="Carlito" w:eastAsia="Times New Roman" w:hAnsi="Carlito" w:cs="Calibri"/>
                      <w:color w:val="3A3A3A"/>
                      <w:sz w:val="20"/>
                      <w:szCs w:val="20"/>
                      <w:lang w:eastAsia="tr-TR"/>
                    </w:rPr>
                    <w:t>Project</w:t>
                  </w:r>
                </w:p>
              </w:tc>
              <w:tc>
                <w:tcPr>
                  <w:tcW w:w="3019" w:type="dxa"/>
                </w:tcPr>
                <w:p w14:paraId="4D8F5091" w14:textId="4BD60AA6" w:rsidR="002E6734" w:rsidRPr="008063BF" w:rsidRDefault="002E6734" w:rsidP="002E6734">
                  <w:pPr>
                    <w:rPr>
                      <w:rFonts w:ascii="Carlito" w:hAnsi="Carlito" w:cs="Calibri"/>
                      <w:sz w:val="20"/>
                      <w:szCs w:val="20"/>
                    </w:rPr>
                  </w:pPr>
                </w:p>
              </w:tc>
              <w:tc>
                <w:tcPr>
                  <w:tcW w:w="3020" w:type="dxa"/>
                </w:tcPr>
                <w:p w14:paraId="0E12A1AC" w14:textId="1B36B5D3" w:rsidR="002E6734" w:rsidRPr="008063BF" w:rsidRDefault="002E6734" w:rsidP="002E6734">
                  <w:pPr>
                    <w:rPr>
                      <w:rFonts w:ascii="Carlito" w:hAnsi="Carlito" w:cs="Calibri"/>
                      <w:sz w:val="20"/>
                      <w:szCs w:val="20"/>
                    </w:rPr>
                  </w:pPr>
                  <w:r w:rsidRPr="008063BF">
                    <w:rPr>
                      <w:rFonts w:ascii="Carlito" w:eastAsia="Times New Roman" w:hAnsi="Carlito" w:cs="Calibri"/>
                      <w:color w:val="3B3A36"/>
                      <w:sz w:val="20"/>
                      <w:szCs w:val="20"/>
                      <w:lang w:eastAsia="tr-TR"/>
                    </w:rPr>
                    <w:t>%</w:t>
                  </w:r>
                </w:p>
              </w:tc>
            </w:tr>
            <w:tr w:rsidR="002E6734" w:rsidRPr="008063BF" w14:paraId="1A3FAEA8" w14:textId="77777777" w:rsidTr="0096113A">
              <w:trPr>
                <w:trHeight w:val="384"/>
              </w:trPr>
              <w:tc>
                <w:tcPr>
                  <w:tcW w:w="3019" w:type="dxa"/>
                </w:tcPr>
                <w:p w14:paraId="19F574AC" w14:textId="2AA712E5" w:rsidR="002E6734" w:rsidRPr="008063BF" w:rsidRDefault="002E6734" w:rsidP="002E6734">
                  <w:pPr>
                    <w:rPr>
                      <w:rFonts w:ascii="Carlito" w:hAnsi="Carlito" w:cs="Calibri"/>
                      <w:sz w:val="20"/>
                      <w:szCs w:val="20"/>
                    </w:rPr>
                  </w:pPr>
                  <w:r w:rsidRPr="008063BF">
                    <w:rPr>
                      <w:rFonts w:ascii="Carlito" w:eastAsia="Times New Roman" w:hAnsi="Carlito" w:cs="Calibri"/>
                      <w:color w:val="3A3A3A"/>
                      <w:sz w:val="20"/>
                      <w:szCs w:val="20"/>
                      <w:lang w:eastAsia="tr-TR"/>
                    </w:rPr>
                    <w:t>Final examination</w:t>
                  </w:r>
                </w:p>
              </w:tc>
              <w:tc>
                <w:tcPr>
                  <w:tcW w:w="3019" w:type="dxa"/>
                </w:tcPr>
                <w:p w14:paraId="7889AA8C" w14:textId="18D615E7" w:rsidR="002E6734" w:rsidRPr="008063BF" w:rsidRDefault="00CE0F09" w:rsidP="002E6734">
                  <w:pPr>
                    <w:rPr>
                      <w:rFonts w:ascii="Carlito" w:hAnsi="Carlito" w:cs="Calibri"/>
                      <w:sz w:val="20"/>
                      <w:szCs w:val="20"/>
                    </w:rPr>
                  </w:pPr>
                  <w:r w:rsidRPr="008063BF">
                    <w:rPr>
                      <w:rFonts w:ascii="Carlito" w:hAnsi="Carlito" w:cs="Calibri"/>
                      <w:sz w:val="20"/>
                      <w:szCs w:val="20"/>
                    </w:rPr>
                    <w:t>1</w:t>
                  </w:r>
                </w:p>
              </w:tc>
              <w:tc>
                <w:tcPr>
                  <w:tcW w:w="3020" w:type="dxa"/>
                </w:tcPr>
                <w:p w14:paraId="5460A250" w14:textId="55D40946" w:rsidR="002E6734" w:rsidRPr="008063BF" w:rsidRDefault="007A7AC1" w:rsidP="002E6734">
                  <w:pPr>
                    <w:rPr>
                      <w:rFonts w:ascii="Carlito" w:hAnsi="Carlito" w:cs="Calibri"/>
                      <w:sz w:val="20"/>
                      <w:szCs w:val="20"/>
                    </w:rPr>
                  </w:pPr>
                  <w:r w:rsidRPr="008063BF">
                    <w:rPr>
                      <w:rFonts w:ascii="Carlito" w:hAnsi="Carlito" w:cs="Calibri"/>
                      <w:sz w:val="20"/>
                      <w:szCs w:val="20"/>
                    </w:rPr>
                    <w:t>%</w:t>
                  </w:r>
                  <w:r w:rsidR="008C4184" w:rsidRPr="008063BF">
                    <w:rPr>
                      <w:rFonts w:ascii="Carlito" w:hAnsi="Carlito" w:cs="Calibri"/>
                      <w:sz w:val="20"/>
                      <w:szCs w:val="20"/>
                    </w:rPr>
                    <w:t xml:space="preserve"> 60</w:t>
                  </w:r>
                </w:p>
              </w:tc>
            </w:tr>
            <w:tr w:rsidR="002E6734" w:rsidRPr="008063BF" w14:paraId="20076F38" w14:textId="77777777" w:rsidTr="0096113A">
              <w:trPr>
                <w:trHeight w:val="404"/>
              </w:trPr>
              <w:tc>
                <w:tcPr>
                  <w:tcW w:w="3019" w:type="dxa"/>
                </w:tcPr>
                <w:p w14:paraId="181C2379" w14:textId="25620B39" w:rsidR="002E6734" w:rsidRPr="008063BF" w:rsidRDefault="002E6734" w:rsidP="002E6734">
                  <w:pPr>
                    <w:rPr>
                      <w:rFonts w:ascii="Carlito" w:hAnsi="Carlito" w:cs="Calibri"/>
                      <w:b/>
                      <w:bCs/>
                      <w:sz w:val="20"/>
                      <w:szCs w:val="20"/>
                    </w:rPr>
                  </w:pPr>
                  <w:r w:rsidRPr="008063BF">
                    <w:rPr>
                      <w:rFonts w:ascii="Carlito" w:hAnsi="Carlito" w:cs="Calibri"/>
                      <w:b/>
                      <w:bCs/>
                      <w:sz w:val="20"/>
                      <w:szCs w:val="20"/>
                    </w:rPr>
                    <w:t>Total</w:t>
                  </w:r>
                </w:p>
              </w:tc>
              <w:tc>
                <w:tcPr>
                  <w:tcW w:w="3019" w:type="dxa"/>
                </w:tcPr>
                <w:p w14:paraId="0A899487" w14:textId="05ADCBA5" w:rsidR="002E6734" w:rsidRPr="008063BF" w:rsidRDefault="00C74908" w:rsidP="002E6734">
                  <w:pPr>
                    <w:rPr>
                      <w:rFonts w:ascii="Carlito" w:hAnsi="Carlito" w:cs="Calibri"/>
                      <w:b/>
                      <w:bCs/>
                      <w:sz w:val="20"/>
                      <w:szCs w:val="20"/>
                    </w:rPr>
                  </w:pPr>
                  <w:r w:rsidRPr="008063BF">
                    <w:rPr>
                      <w:rFonts w:ascii="Carlito" w:hAnsi="Carlito" w:cs="Calibri"/>
                      <w:b/>
                      <w:bCs/>
                      <w:sz w:val="20"/>
                      <w:szCs w:val="20"/>
                    </w:rPr>
                    <w:t>2</w:t>
                  </w:r>
                </w:p>
              </w:tc>
              <w:tc>
                <w:tcPr>
                  <w:tcW w:w="3020" w:type="dxa"/>
                </w:tcPr>
                <w:p w14:paraId="5B13C207" w14:textId="6EC5A00E" w:rsidR="002E6734" w:rsidRPr="008063BF" w:rsidRDefault="002E6734" w:rsidP="002E6734">
                  <w:pPr>
                    <w:rPr>
                      <w:rFonts w:ascii="Carlito" w:hAnsi="Carlito" w:cs="Calibri"/>
                      <w:b/>
                      <w:bCs/>
                      <w:sz w:val="20"/>
                      <w:szCs w:val="20"/>
                    </w:rPr>
                  </w:pPr>
                  <w:r w:rsidRPr="008063BF">
                    <w:rPr>
                      <w:rFonts w:ascii="Carlito" w:hAnsi="Carlito" w:cs="Calibri"/>
                      <w:b/>
                      <w:bCs/>
                      <w:sz w:val="20"/>
                      <w:szCs w:val="20"/>
                    </w:rPr>
                    <w:t>100</w:t>
                  </w:r>
                  <w:r w:rsidR="007A7AC1" w:rsidRPr="008063BF">
                    <w:rPr>
                      <w:rFonts w:ascii="Carlito" w:hAnsi="Carlito" w:cs="Calibri"/>
                      <w:b/>
                      <w:bCs/>
                      <w:sz w:val="20"/>
                      <w:szCs w:val="20"/>
                    </w:rPr>
                    <w:t>%</w:t>
                  </w:r>
                </w:p>
              </w:tc>
            </w:tr>
          </w:tbl>
          <w:p w14:paraId="5E2C5B8F" w14:textId="77777777" w:rsidR="002E6734" w:rsidRPr="008063BF" w:rsidRDefault="002E6734" w:rsidP="002E6734">
            <w:pPr>
              <w:jc w:val="both"/>
              <w:rPr>
                <w:rFonts w:ascii="Carlito" w:hAnsi="Carlito"/>
                <w:sz w:val="20"/>
                <w:szCs w:val="20"/>
              </w:rPr>
            </w:pPr>
          </w:p>
        </w:tc>
      </w:tr>
      <w:tr w:rsidR="002E6734" w:rsidRPr="008063BF" w14:paraId="48BF9CD2" w14:textId="77777777" w:rsidTr="002E6734">
        <w:trPr>
          <w:trHeight w:val="2567"/>
        </w:trPr>
        <w:tc>
          <w:tcPr>
            <w:tcW w:w="1522" w:type="dxa"/>
            <w:vAlign w:val="center"/>
          </w:tcPr>
          <w:p w14:paraId="1CE13ABC" w14:textId="6692187D" w:rsidR="002E6734" w:rsidRPr="008063BF" w:rsidRDefault="002E6734" w:rsidP="002E6734">
            <w:pPr>
              <w:spacing w:line="360" w:lineRule="auto"/>
              <w:jc w:val="both"/>
              <w:rPr>
                <w:rFonts w:ascii="Carlito" w:hAnsi="Carlito"/>
                <w:b/>
                <w:bCs/>
                <w:sz w:val="20"/>
                <w:szCs w:val="20"/>
              </w:rPr>
            </w:pPr>
            <w:r w:rsidRPr="008063BF">
              <w:rPr>
                <w:rFonts w:ascii="Carlito" w:hAnsi="Carlito"/>
                <w:b/>
                <w:bCs/>
                <w:sz w:val="20"/>
                <w:szCs w:val="20"/>
              </w:rPr>
              <w:t>Disability Policy</w:t>
            </w:r>
          </w:p>
        </w:tc>
        <w:tc>
          <w:tcPr>
            <w:tcW w:w="8835" w:type="dxa"/>
            <w:gridSpan w:val="5"/>
            <w:vAlign w:val="center"/>
          </w:tcPr>
          <w:p w14:paraId="07970C4D" w14:textId="15896285" w:rsidR="002E6734" w:rsidRPr="008063BF" w:rsidRDefault="002E6734" w:rsidP="002E6734">
            <w:pPr>
              <w:spacing w:line="360" w:lineRule="auto"/>
              <w:jc w:val="both"/>
              <w:rPr>
                <w:rFonts w:ascii="Carlito" w:hAnsi="Carlito"/>
                <w:sz w:val="20"/>
                <w:szCs w:val="20"/>
              </w:rPr>
            </w:pPr>
            <w:r w:rsidRPr="008063BF">
              <w:rPr>
                <w:rFonts w:ascii="Carlito" w:hAnsi="Carlito"/>
                <w:sz w:val="20"/>
                <w:szCs w:val="20"/>
              </w:rPr>
              <w:t xml:space="preserve">If you have a documented disability (e.g., visual, hearing, or physical impairment, etc.) that may influence your performance in this course, it is recommended to meet with the </w:t>
            </w:r>
            <w:proofErr w:type="spellStart"/>
            <w:r w:rsidRPr="008063BF">
              <w:rPr>
                <w:rFonts w:ascii="Carlito" w:hAnsi="Carlito"/>
                <w:sz w:val="20"/>
                <w:szCs w:val="20"/>
              </w:rPr>
              <w:t>Engelsiz</w:t>
            </w:r>
            <w:proofErr w:type="spellEnd"/>
            <w:r w:rsidRPr="008063BF">
              <w:rPr>
                <w:rFonts w:ascii="Carlito" w:hAnsi="Carlito"/>
                <w:sz w:val="20"/>
                <w:szCs w:val="20"/>
              </w:rPr>
              <w:t xml:space="preserve"> AYBU (</w:t>
            </w:r>
            <w:hyperlink r:id="rId6" w:history="1">
              <w:r w:rsidRPr="008063BF">
                <w:rPr>
                  <w:rStyle w:val="Kpr"/>
                  <w:rFonts w:ascii="Carlito" w:hAnsi="Carlito"/>
                  <w:sz w:val="20"/>
                  <w:szCs w:val="20"/>
                </w:rPr>
                <w:t>https://aybu.edu.tr/engelsiz/content_list-327-yildirim-beyazit-universitesi-engelsiz-universite-birimi-yonergesi.html</w:t>
              </w:r>
            </w:hyperlink>
            <w:r w:rsidRPr="008063BF">
              <w:rPr>
                <w:rFonts w:ascii="Carlito" w:hAnsi="Carlito"/>
                <w:sz w:val="20"/>
                <w:szCs w:val="20"/>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8063BF" w:rsidRDefault="0048206C">
      <w:pPr>
        <w:rPr>
          <w:rFonts w:ascii="Carlito" w:hAnsi="Carlito"/>
          <w:sz w:val="20"/>
          <w:szCs w:val="20"/>
        </w:rPr>
      </w:pPr>
    </w:p>
    <w:p w14:paraId="798AD82D" w14:textId="77777777" w:rsidR="00FD469B" w:rsidRPr="008063BF" w:rsidRDefault="00FD469B">
      <w:pPr>
        <w:rPr>
          <w:rFonts w:ascii="Carlito" w:hAnsi="Carlito"/>
          <w:sz w:val="20"/>
          <w:szCs w:val="20"/>
        </w:rPr>
      </w:pPr>
    </w:p>
    <w:sectPr w:rsidR="00FD469B" w:rsidRPr="008063BF"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BF4"/>
    <w:multiLevelType w:val="hybridMultilevel"/>
    <w:tmpl w:val="F146CF2C"/>
    <w:lvl w:ilvl="0" w:tplc="A47CAFF6">
      <w:start w:val="14"/>
      <w:numFmt w:val="bullet"/>
      <w:lvlText w:val="-"/>
      <w:lvlJc w:val="left"/>
      <w:pPr>
        <w:ind w:left="504" w:hanging="360"/>
      </w:pPr>
      <w:rPr>
        <w:rFonts w:ascii="Times New Roman" w:eastAsia="Times New Roman" w:hAnsi="Times New Roman"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1" w15:restartNumberingAfterBreak="0">
    <w:nsid w:val="5E330990"/>
    <w:multiLevelType w:val="hybridMultilevel"/>
    <w:tmpl w:val="46CEACC8"/>
    <w:lvl w:ilvl="0" w:tplc="9BFE037E">
      <w:start w:val="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77445052">
    <w:abstractNumId w:val="1"/>
  </w:num>
  <w:num w:numId="2" w16cid:durableId="31418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1D7BB4"/>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9446B"/>
    <w:rsid w:val="004C48BD"/>
    <w:rsid w:val="00581636"/>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01EDA"/>
    <w:rsid w:val="008063BF"/>
    <w:rsid w:val="008309D1"/>
    <w:rsid w:val="0083209D"/>
    <w:rsid w:val="00871F5E"/>
    <w:rsid w:val="008B7E4A"/>
    <w:rsid w:val="008C4184"/>
    <w:rsid w:val="008F5B0A"/>
    <w:rsid w:val="00930D25"/>
    <w:rsid w:val="009D039A"/>
    <w:rsid w:val="00A27A75"/>
    <w:rsid w:val="00A62A20"/>
    <w:rsid w:val="00A85300"/>
    <w:rsid w:val="00AE7B0A"/>
    <w:rsid w:val="00AF3427"/>
    <w:rsid w:val="00B76BB2"/>
    <w:rsid w:val="00BB53D6"/>
    <w:rsid w:val="00BC180B"/>
    <w:rsid w:val="00BF3EFD"/>
    <w:rsid w:val="00C0698A"/>
    <w:rsid w:val="00C63DB9"/>
    <w:rsid w:val="00C74908"/>
    <w:rsid w:val="00CC3B7A"/>
    <w:rsid w:val="00CC7DF4"/>
    <w:rsid w:val="00CD228A"/>
    <w:rsid w:val="00CE0F09"/>
    <w:rsid w:val="00D26E72"/>
    <w:rsid w:val="00DB2A49"/>
    <w:rsid w:val="00DD6DCD"/>
    <w:rsid w:val="00E325D4"/>
    <w:rsid w:val="00E812C2"/>
    <w:rsid w:val="00EB0594"/>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rsBilgileri">
    <w:name w:val="Ders Bilgileri"/>
    <w:basedOn w:val="Normal"/>
    <w:rsid w:val="00581636"/>
    <w:pPr>
      <w:widowControl/>
      <w:autoSpaceDE/>
      <w:autoSpaceDN/>
      <w:spacing w:before="80" w:after="80"/>
      <w:ind w:left="144" w:right="144"/>
      <w:jc w:val="both"/>
    </w:pPr>
    <w:rPr>
      <w:rFonts w:ascii="Verdana" w:eastAsia="Times New Roman" w:hAnsi="Verdana" w:cs="Times New Roman"/>
      <w:sz w:val="16"/>
      <w:szCs w:val="24"/>
      <w:lang w:eastAsia="tr-TR"/>
    </w:rPr>
  </w:style>
  <w:style w:type="paragraph" w:customStyle="1" w:styleId="Kaynakca">
    <w:name w:val="Kaynakca"/>
    <w:basedOn w:val="Normal"/>
    <w:rsid w:val="00581636"/>
    <w:pPr>
      <w:keepLines/>
      <w:widowControl/>
      <w:autoSpaceDE/>
      <w:autoSpaceDN/>
      <w:spacing w:before="20" w:after="20"/>
      <w:ind w:left="432" w:hanging="288"/>
      <w:jc w:val="both"/>
    </w:pPr>
    <w:rPr>
      <w:rFonts w:ascii="Verdana" w:eastAsia="Times New Roman" w:hAnsi="Verdana" w:cs="Times New Roman"/>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979</Words>
  <Characters>5583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Şahin Eray Kırdım</cp:lastModifiedBy>
  <cp:revision>5</cp:revision>
  <dcterms:created xsi:type="dcterms:W3CDTF">2026-03-31T08:23:00Z</dcterms:created>
  <dcterms:modified xsi:type="dcterms:W3CDTF">2026-03-31T08:38:00Z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