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41D75FD3"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 xml:space="preserve">DEPARTMENT OF </w:t>
            </w:r>
            <w:r w:rsidR="002456F9">
              <w:rPr>
                <w:b/>
                <w:sz w:val="20"/>
                <w:szCs w:val="20"/>
                <w:lang w:val="en-US"/>
              </w:rPr>
              <w:t>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486F4BE3" w:rsidR="00E325D4" w:rsidRPr="002E6734" w:rsidRDefault="005070AB" w:rsidP="00464A63">
            <w:pPr>
              <w:pStyle w:val="TableParagraph"/>
              <w:ind w:left="62" w:right="47"/>
              <w:jc w:val="center"/>
              <w:rPr>
                <w:sz w:val="20"/>
                <w:lang w:val="en-US"/>
              </w:rPr>
            </w:pPr>
            <w:r>
              <w:rPr>
                <w:sz w:val="20"/>
                <w:lang w:val="en-US"/>
              </w:rPr>
              <w:t xml:space="preserve">INRE </w:t>
            </w:r>
            <w:r w:rsidR="00574631">
              <w:rPr>
                <w:sz w:val="20"/>
                <w:lang w:val="en-US"/>
              </w:rPr>
              <w:t>322</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549AA32D" w:rsidR="00E325D4" w:rsidRPr="002E6734" w:rsidRDefault="00574631" w:rsidP="00464A63">
            <w:pPr>
              <w:pStyle w:val="TableParagraph"/>
              <w:ind w:left="14"/>
              <w:jc w:val="center"/>
              <w:rPr>
                <w:sz w:val="20"/>
                <w:lang w:val="en-US"/>
              </w:rPr>
            </w:pPr>
            <w:r>
              <w:rPr>
                <w:sz w:val="20"/>
                <w:lang w:val="en-US"/>
              </w:rPr>
              <w:t>State in Comparative Perspective</w:t>
            </w:r>
          </w:p>
        </w:tc>
        <w:tc>
          <w:tcPr>
            <w:tcW w:w="1276" w:type="dxa"/>
            <w:vAlign w:val="center"/>
          </w:tcPr>
          <w:p w14:paraId="1CB4682D" w14:textId="2ED5FC9E" w:rsidR="00E325D4" w:rsidRPr="002E6734" w:rsidRDefault="00776E01" w:rsidP="00464A63">
            <w:pPr>
              <w:pStyle w:val="TableParagraph"/>
              <w:jc w:val="center"/>
              <w:rPr>
                <w:spacing w:val="-2"/>
                <w:sz w:val="20"/>
                <w:lang w:val="en-US"/>
              </w:rPr>
            </w:pPr>
            <w:r>
              <w:rPr>
                <w:spacing w:val="-2"/>
                <w:sz w:val="20"/>
                <w:lang w:val="en-US"/>
              </w:rPr>
              <w:t>Elective</w:t>
            </w:r>
          </w:p>
          <w:p w14:paraId="2EDFD95E" w14:textId="6F8FBC74" w:rsidR="00E325D4" w:rsidRPr="002E6734" w:rsidRDefault="00E325D4" w:rsidP="00FD2597">
            <w:pPr>
              <w:pStyle w:val="TableParagraph"/>
              <w:rPr>
                <w:sz w:val="20"/>
                <w:lang w:val="en-US"/>
              </w:rPr>
            </w:pP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0469F73A" w:rsidR="00E325D4" w:rsidRPr="002E6734" w:rsidRDefault="00DD464F" w:rsidP="00464A63">
            <w:pPr>
              <w:pStyle w:val="TableParagraph"/>
              <w:ind w:left="10"/>
              <w:jc w:val="center"/>
              <w:rPr>
                <w:sz w:val="20"/>
                <w:lang w:val="en-US"/>
              </w:rPr>
            </w:pPr>
            <w:r>
              <w:rPr>
                <w:sz w:val="20"/>
                <w:lang w:val="en-US"/>
              </w:rPr>
              <w:t>6</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48A3FFE1" w:rsidR="00E325D4" w:rsidRPr="002E6734" w:rsidRDefault="00AB3537" w:rsidP="00464A63">
            <w:pPr>
              <w:pStyle w:val="TableParagraph"/>
              <w:ind w:left="14"/>
              <w:jc w:val="center"/>
              <w:rPr>
                <w:sz w:val="20"/>
                <w:lang w:val="en-US"/>
              </w:rPr>
            </w:pPr>
            <w:r>
              <w:rPr>
                <w:sz w:val="20"/>
                <w:lang w:val="en-US"/>
              </w:rPr>
              <w:t>-</w:t>
            </w:r>
          </w:p>
        </w:tc>
        <w:tc>
          <w:tcPr>
            <w:tcW w:w="1852" w:type="dxa"/>
            <w:vAlign w:val="center"/>
          </w:tcPr>
          <w:p w14:paraId="6E69D48B" w14:textId="2C82D4EA" w:rsidR="00E325D4" w:rsidRPr="002E6734" w:rsidRDefault="00DD464F" w:rsidP="00464A63">
            <w:pPr>
              <w:pStyle w:val="TableParagraph"/>
              <w:jc w:val="center"/>
              <w:rPr>
                <w:sz w:val="20"/>
                <w:lang w:val="en-US"/>
              </w:rPr>
            </w:pPr>
            <w:r>
              <w:rPr>
                <w:sz w:val="20"/>
                <w:lang w:val="en-US"/>
              </w:rPr>
              <w:t>10.01.2026</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5554C989" w:rsidR="000441DB" w:rsidRPr="002E6734" w:rsidRDefault="00EF1DCF" w:rsidP="001746AA">
            <w:pPr>
              <w:pStyle w:val="TableParagraph"/>
              <w:jc w:val="both"/>
              <w:rPr>
                <w:sz w:val="20"/>
                <w:lang w:val="en-US"/>
              </w:rPr>
            </w:pPr>
            <w:r>
              <w:rPr>
                <w:sz w:val="20"/>
                <w:lang w:val="en-US"/>
              </w:rPr>
              <w:t xml:space="preserve"> Asst. Prof. Cengiz Mert Bulut &amp; </w:t>
            </w:r>
            <w:hyperlink r:id="rId5" w:history="1">
              <w:r w:rsidRPr="005341A0">
                <w:rPr>
                  <w:rStyle w:val="Kpr"/>
                  <w:sz w:val="20"/>
                  <w:lang w:val="en-US"/>
                </w:rPr>
                <w:t>cmbulut@aybu.edu.tr</w:t>
              </w:r>
            </w:hyperlink>
            <w:r>
              <w:rPr>
                <w:sz w:val="20"/>
                <w:lang w:val="en-US"/>
              </w:rPr>
              <w:t xml:space="preserve"> </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70C15698" w:rsidR="00EF389B" w:rsidRPr="002E6734" w:rsidRDefault="00EF389B" w:rsidP="00EF389B">
            <w:pPr>
              <w:pStyle w:val="TableParagraph"/>
              <w:jc w:val="both"/>
              <w:rPr>
                <w:sz w:val="20"/>
                <w:lang w:val="en-US"/>
              </w:rPr>
            </w:pPr>
            <w:r w:rsidRPr="002E6734">
              <w:rPr>
                <w:sz w:val="20"/>
                <w:lang w:val="en-US"/>
              </w:rPr>
              <w:t xml:space="preserve">   </w:t>
            </w:r>
            <w:r w:rsidR="00CB4247">
              <w:rPr>
                <w:sz w:val="20"/>
                <w:lang w:val="en-US"/>
              </w:rPr>
              <w:t>Wednesday, 11</w:t>
            </w:r>
            <w:r w:rsidR="00FA3E0A">
              <w:rPr>
                <w:sz w:val="20"/>
                <w:lang w:val="en-US"/>
              </w:rPr>
              <w:t>.</w:t>
            </w:r>
            <w:r w:rsidR="00CB4247">
              <w:rPr>
                <w:sz w:val="20"/>
                <w:lang w:val="en-US"/>
              </w:rPr>
              <w:t>30</w:t>
            </w:r>
            <w:r w:rsidR="00FA3E0A">
              <w:rPr>
                <w:sz w:val="20"/>
                <w:lang w:val="en-US"/>
              </w:rPr>
              <w:t xml:space="preserve"> - 13.00 &amp; 15.00 – 16.00 / Thursday, 11.00 </w:t>
            </w:r>
            <w:r w:rsidR="00995BFD">
              <w:rPr>
                <w:sz w:val="20"/>
                <w:lang w:val="en-US"/>
              </w:rPr>
              <w:t>–</w:t>
            </w:r>
            <w:r w:rsidR="00FA3E0A">
              <w:rPr>
                <w:sz w:val="20"/>
                <w:lang w:val="en-US"/>
              </w:rPr>
              <w:t xml:space="preserve"> </w:t>
            </w:r>
            <w:r w:rsidR="00995BFD">
              <w:rPr>
                <w:sz w:val="20"/>
                <w:lang w:val="en-US"/>
              </w:rPr>
              <w:t xml:space="preserve">13.00 </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13F8BE2" w14:textId="0F7F4A0E" w:rsidR="00EF389B" w:rsidRPr="002E6734" w:rsidRDefault="009922BC" w:rsidP="00EF389B">
            <w:pPr>
              <w:pStyle w:val="TableParagraph"/>
              <w:spacing w:before="54"/>
              <w:ind w:left="110"/>
              <w:jc w:val="both"/>
              <w:rPr>
                <w:sz w:val="20"/>
                <w:lang w:val="en-US"/>
              </w:rPr>
            </w:pPr>
            <w:r w:rsidRPr="009922BC">
              <w:rPr>
                <w:sz w:val="20"/>
                <w:lang w:val="en-US"/>
              </w:rPr>
              <w:t>This course examines key contemporary issues in world politics—including geopolitics, security, global governance, and economic crises—through critical engagement with academic literature. It aims to develop students’ analytical skills by enabling them to interpret complex global developments and apply theoretical perspectives to real-world international challenges.</w:t>
            </w:r>
          </w:p>
        </w:tc>
      </w:tr>
      <w:tr w:rsidR="00EF389B" w:rsidRPr="002E6734" w14:paraId="1B3E82E5" w14:textId="77777777" w:rsidTr="00B12511">
        <w:trPr>
          <w:trHeight w:val="1202"/>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6093A56F" w14:textId="737A3DF2" w:rsidR="00EF389B" w:rsidRPr="00E116BA" w:rsidRDefault="00B12511" w:rsidP="00C4423B">
            <w:pPr>
              <w:pStyle w:val="TableParagraph"/>
              <w:jc w:val="both"/>
              <w:rPr>
                <w:sz w:val="20"/>
                <w:szCs w:val="20"/>
              </w:rPr>
            </w:pPr>
            <w:r w:rsidRPr="00E116BA">
              <w:rPr>
                <w:iCs/>
                <w:sz w:val="20"/>
                <w:szCs w:val="20"/>
                <w:lang w:val="en-US"/>
              </w:rPr>
              <w:t xml:space="preserve"> </w:t>
            </w:r>
            <w:r w:rsidR="003518A4" w:rsidRPr="003518A4">
              <w:rPr>
                <w:sz w:val="20"/>
                <w:lang w:val="en-US"/>
              </w:rPr>
              <w:t>Leibfried, Stephan, and others (eds), </w:t>
            </w:r>
            <w:r w:rsidR="003518A4" w:rsidRPr="003518A4">
              <w:rPr>
                <w:i/>
                <w:iCs/>
                <w:sz w:val="20"/>
                <w:lang w:val="en-US"/>
              </w:rPr>
              <w:t>The Oxford Handbook of Transformations of the State</w:t>
            </w:r>
            <w:r w:rsidR="003518A4" w:rsidRPr="003518A4">
              <w:rPr>
                <w:sz w:val="20"/>
                <w:lang w:val="en-US"/>
              </w:rPr>
              <w:t xml:space="preserve"> (2015; online </w:t>
            </w:r>
            <w:proofErr w:type="spellStart"/>
            <w:r w:rsidR="003518A4" w:rsidRPr="003518A4">
              <w:rPr>
                <w:sz w:val="20"/>
                <w:lang w:val="en-US"/>
              </w:rPr>
              <w:t>edn</w:t>
            </w:r>
            <w:proofErr w:type="spellEnd"/>
            <w:r w:rsidR="003518A4" w:rsidRPr="003518A4">
              <w:rPr>
                <w:sz w:val="20"/>
                <w:lang w:val="en-US"/>
              </w:rPr>
              <w:t>, Oxford Academic, 10 Sept. 2015)</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12AC6B9B" w:rsidR="00EF389B" w:rsidRPr="002E6734" w:rsidRDefault="00730CE1" w:rsidP="00EF389B">
            <w:pPr>
              <w:pStyle w:val="TableParagraph"/>
              <w:spacing w:before="159"/>
              <w:ind w:left="110"/>
              <w:jc w:val="both"/>
              <w:rPr>
                <w:sz w:val="20"/>
                <w:lang w:val="en-US"/>
              </w:rPr>
            </w:pPr>
            <w:r w:rsidRPr="00730CE1">
              <w:rPr>
                <w:sz w:val="20"/>
                <w:lang w:val="en-US"/>
              </w:rPr>
              <w:t>In this course, homework, class discussions, and idea papers will used as teaching methods and techniques.</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2E6734" w:rsidRDefault="00731977" w:rsidP="00731977">
                  <w:pPr>
                    <w:jc w:val="both"/>
                    <w:rPr>
                      <w:sz w:val="21"/>
                      <w:szCs w:val="21"/>
                      <w:lang w:val="en-US"/>
                    </w:rPr>
                  </w:pPr>
                  <w:r w:rsidRPr="002E6734">
                    <w:rPr>
                      <w:sz w:val="21"/>
                      <w:szCs w:val="21"/>
                      <w:lang w:val="en-US"/>
                    </w:rPr>
                    <w:t>1</w:t>
                  </w:r>
                </w:p>
              </w:tc>
              <w:tc>
                <w:tcPr>
                  <w:tcW w:w="7796" w:type="dxa"/>
                </w:tcPr>
                <w:p w14:paraId="7C01A625" w14:textId="40EAEE45" w:rsidR="00731977" w:rsidRPr="002E6734" w:rsidRDefault="005A1CB3" w:rsidP="00731977">
                  <w:pPr>
                    <w:jc w:val="both"/>
                    <w:rPr>
                      <w:lang w:val="en-US"/>
                    </w:rPr>
                  </w:pPr>
                  <w:r w:rsidRPr="005A1CB3">
                    <w:rPr>
                      <w:rFonts w:ascii="Carlito" w:eastAsia="Carlito" w:hAnsi="Carlito" w:cs="Carlito"/>
                      <w:sz w:val="20"/>
                      <w:lang w:val="en-US"/>
                    </w:rPr>
                    <w:t>To examine the historical development and transformation of the modern state in comparative perspective</w:t>
                  </w:r>
                </w:p>
              </w:tc>
            </w:tr>
            <w:tr w:rsidR="00731977" w:rsidRPr="002E6734" w14:paraId="3A5601D0" w14:textId="77777777" w:rsidTr="00A25E79">
              <w:trPr>
                <w:trHeight w:val="266"/>
              </w:trPr>
              <w:tc>
                <w:tcPr>
                  <w:tcW w:w="1024" w:type="dxa"/>
                </w:tcPr>
                <w:p w14:paraId="2123B7B1" w14:textId="77777777" w:rsidR="00731977" w:rsidRPr="00386143" w:rsidRDefault="00731977" w:rsidP="00731977">
                  <w:pPr>
                    <w:jc w:val="both"/>
                    <w:rPr>
                      <w:rFonts w:ascii="Carlito" w:eastAsia="Carlito" w:hAnsi="Carlito" w:cs="Carlito"/>
                      <w:sz w:val="20"/>
                      <w:lang w:val="en-US"/>
                    </w:rPr>
                  </w:pPr>
                  <w:r w:rsidRPr="00386143">
                    <w:rPr>
                      <w:rFonts w:ascii="Carlito" w:eastAsia="Carlito" w:hAnsi="Carlito" w:cs="Carlito"/>
                      <w:sz w:val="20"/>
                      <w:lang w:val="en-US"/>
                    </w:rPr>
                    <w:t>2</w:t>
                  </w:r>
                </w:p>
              </w:tc>
              <w:tc>
                <w:tcPr>
                  <w:tcW w:w="7796" w:type="dxa"/>
                </w:tcPr>
                <w:p w14:paraId="724ACAE1" w14:textId="1E3CA84F" w:rsidR="00731977" w:rsidRPr="00386143" w:rsidRDefault="00267859" w:rsidP="00731977">
                  <w:pPr>
                    <w:jc w:val="both"/>
                    <w:rPr>
                      <w:rFonts w:ascii="Carlito" w:eastAsia="Carlito" w:hAnsi="Carlito" w:cs="Carlito"/>
                      <w:sz w:val="20"/>
                      <w:lang w:val="en-US"/>
                    </w:rPr>
                  </w:pPr>
                  <w:r w:rsidRPr="00386143">
                    <w:rPr>
                      <w:rFonts w:ascii="Carlito" w:eastAsia="Carlito" w:hAnsi="Carlito" w:cs="Carlito"/>
                      <w:sz w:val="20"/>
                      <w:lang w:val="en-US"/>
                    </w:rPr>
                    <w:t>To analyze different state types (e.g., rentier, developmental, fragile, predatory) and their governance outcomes</w:t>
                  </w:r>
                </w:p>
              </w:tc>
            </w:tr>
            <w:tr w:rsidR="00731977" w:rsidRPr="002E6734" w14:paraId="340C8DE8" w14:textId="77777777" w:rsidTr="00A25E79">
              <w:trPr>
                <w:trHeight w:val="278"/>
              </w:trPr>
              <w:tc>
                <w:tcPr>
                  <w:tcW w:w="1024" w:type="dxa"/>
                </w:tcPr>
                <w:p w14:paraId="10906DF2" w14:textId="77777777" w:rsidR="00731977" w:rsidRPr="00386143" w:rsidRDefault="00731977" w:rsidP="00731977">
                  <w:pPr>
                    <w:jc w:val="both"/>
                    <w:rPr>
                      <w:rFonts w:ascii="Carlito" w:eastAsia="Carlito" w:hAnsi="Carlito" w:cs="Carlito"/>
                      <w:sz w:val="20"/>
                      <w:lang w:val="en-US"/>
                    </w:rPr>
                  </w:pPr>
                  <w:r w:rsidRPr="00386143">
                    <w:rPr>
                      <w:rFonts w:ascii="Carlito" w:eastAsia="Carlito" w:hAnsi="Carlito" w:cs="Carlito"/>
                      <w:sz w:val="20"/>
                      <w:lang w:val="en-US"/>
                    </w:rPr>
                    <w:t>3</w:t>
                  </w:r>
                </w:p>
              </w:tc>
              <w:tc>
                <w:tcPr>
                  <w:tcW w:w="7796" w:type="dxa"/>
                </w:tcPr>
                <w:p w14:paraId="0FD6872D" w14:textId="6EF88BA4" w:rsidR="00731977" w:rsidRPr="00386143" w:rsidRDefault="008465B8" w:rsidP="00731977">
                  <w:pPr>
                    <w:jc w:val="both"/>
                    <w:rPr>
                      <w:rFonts w:ascii="Carlito" w:eastAsia="Carlito" w:hAnsi="Carlito" w:cs="Carlito"/>
                      <w:sz w:val="20"/>
                      <w:lang w:val="en-US"/>
                    </w:rPr>
                  </w:pPr>
                  <w:r w:rsidRPr="00386143">
                    <w:rPr>
                      <w:rFonts w:ascii="Carlito" w:eastAsia="Carlito" w:hAnsi="Carlito" w:cs="Carlito"/>
                      <w:sz w:val="20"/>
                      <w:lang w:val="en-US"/>
                    </w:rPr>
                    <w:t>To evaluate the relationship between state structures, society, and global processes such as globalization and economic change</w:t>
                  </w: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2E6734" w14:paraId="7E10CF4A" w14:textId="77777777" w:rsidTr="00A25E79">
              <w:trPr>
                <w:trHeight w:val="280"/>
              </w:trPr>
              <w:tc>
                <w:tcPr>
                  <w:tcW w:w="1024" w:type="dxa"/>
                </w:tcPr>
                <w:p w14:paraId="3F5B9EAD" w14:textId="58DFEF5C" w:rsidR="00731977" w:rsidRPr="00386143" w:rsidRDefault="00BE58DF" w:rsidP="00731977">
                  <w:pPr>
                    <w:jc w:val="both"/>
                    <w:rPr>
                      <w:rFonts w:ascii="Carlito" w:eastAsia="Carlito" w:hAnsi="Carlito" w:cs="Carlito"/>
                      <w:sz w:val="20"/>
                      <w:lang w:val="en-US"/>
                    </w:rPr>
                  </w:pPr>
                  <w:r w:rsidRPr="00386143">
                    <w:rPr>
                      <w:rFonts w:ascii="Carlito" w:eastAsia="Carlito" w:hAnsi="Carlito" w:cs="Carlito"/>
                      <w:sz w:val="20"/>
                      <w:lang w:val="en-US"/>
                    </w:rPr>
                    <w:t>P1</w:t>
                  </w:r>
                </w:p>
              </w:tc>
              <w:tc>
                <w:tcPr>
                  <w:tcW w:w="7784" w:type="dxa"/>
                </w:tcPr>
                <w:p w14:paraId="38E32BB7" w14:textId="1AACC078" w:rsidR="00731977" w:rsidRPr="00386143" w:rsidRDefault="00C17289" w:rsidP="00731977">
                  <w:pPr>
                    <w:jc w:val="both"/>
                    <w:rPr>
                      <w:rFonts w:ascii="Carlito" w:eastAsia="Carlito" w:hAnsi="Carlito" w:cs="Carlito"/>
                      <w:sz w:val="20"/>
                      <w:lang w:val="en-US"/>
                    </w:rPr>
                  </w:pPr>
                  <w:r w:rsidRPr="00386143">
                    <w:rPr>
                      <w:rFonts w:ascii="Carlito" w:eastAsia="Carlito" w:hAnsi="Carlito" w:cs="Carlito"/>
                      <w:sz w:val="20"/>
                      <w:lang w:val="en-US"/>
                    </w:rPr>
                    <w:t xml:space="preserve">To be able to access and utilize advanced conceptual, theoretical, and empirical knowledge in the discipline and branches of International Relations, </w:t>
                  </w:r>
                  <w:proofErr w:type="gramStart"/>
                  <w:r w:rsidRPr="00386143">
                    <w:rPr>
                      <w:rFonts w:ascii="Carlito" w:eastAsia="Carlito" w:hAnsi="Carlito" w:cs="Carlito"/>
                      <w:sz w:val="20"/>
                      <w:lang w:val="en-US"/>
                    </w:rPr>
                    <w:t>in light of</w:t>
                  </w:r>
                  <w:proofErr w:type="gramEnd"/>
                  <w:r w:rsidRPr="00386143">
                    <w:rPr>
                      <w:rFonts w:ascii="Carlito" w:eastAsia="Carlito" w:hAnsi="Carlito" w:cs="Carlito"/>
                      <w:sz w:val="20"/>
                      <w:lang w:val="en-US"/>
                    </w:rPr>
                    <w:t xml:space="preserve"> current academic resources.</w:t>
                  </w:r>
                </w:p>
              </w:tc>
            </w:tr>
            <w:tr w:rsidR="00731977" w:rsidRPr="002E6734" w14:paraId="109BAA97" w14:textId="77777777" w:rsidTr="00A25E79">
              <w:trPr>
                <w:trHeight w:val="268"/>
              </w:trPr>
              <w:tc>
                <w:tcPr>
                  <w:tcW w:w="1024" w:type="dxa"/>
                </w:tcPr>
                <w:p w14:paraId="65ED327B" w14:textId="0F2AD9AC" w:rsidR="00731977" w:rsidRPr="00386143" w:rsidRDefault="00C17289" w:rsidP="00731977">
                  <w:pPr>
                    <w:jc w:val="both"/>
                    <w:rPr>
                      <w:rFonts w:ascii="Carlito" w:eastAsia="Carlito" w:hAnsi="Carlito" w:cs="Carlito"/>
                      <w:sz w:val="20"/>
                      <w:lang w:val="en-US"/>
                    </w:rPr>
                  </w:pPr>
                  <w:r w:rsidRPr="00386143">
                    <w:rPr>
                      <w:rFonts w:ascii="Carlito" w:eastAsia="Carlito" w:hAnsi="Carlito" w:cs="Carlito"/>
                      <w:sz w:val="20"/>
                      <w:lang w:val="en-US"/>
                    </w:rPr>
                    <w:t>P2</w:t>
                  </w:r>
                </w:p>
              </w:tc>
              <w:tc>
                <w:tcPr>
                  <w:tcW w:w="7784" w:type="dxa"/>
                </w:tcPr>
                <w:p w14:paraId="57B68867" w14:textId="5C166DB3" w:rsidR="00731977" w:rsidRPr="00386143" w:rsidRDefault="00C17289" w:rsidP="00731977">
                  <w:pPr>
                    <w:jc w:val="both"/>
                    <w:rPr>
                      <w:rFonts w:ascii="Carlito" w:eastAsia="Carlito" w:hAnsi="Carlito" w:cs="Carlito"/>
                      <w:sz w:val="20"/>
                      <w:lang w:val="en-US"/>
                    </w:rPr>
                  </w:pPr>
                  <w:r w:rsidRPr="00386143">
                    <w:rPr>
                      <w:rFonts w:ascii="Carlito" w:eastAsia="Carlito" w:hAnsi="Carlito" w:cs="Carlito"/>
                      <w:sz w:val="20"/>
                      <w:lang w:val="en-US"/>
                    </w:rPr>
                    <w:t>To be able to collect data, analyze it, and make scientific evaluations using international relations research methods.</w:t>
                  </w:r>
                </w:p>
              </w:tc>
            </w:tr>
            <w:tr w:rsidR="00731977" w:rsidRPr="002E6734" w14:paraId="57915FD8" w14:textId="77777777" w:rsidTr="00A25E79">
              <w:trPr>
                <w:trHeight w:val="280"/>
              </w:trPr>
              <w:tc>
                <w:tcPr>
                  <w:tcW w:w="1024" w:type="dxa"/>
                </w:tcPr>
                <w:p w14:paraId="3EEC2E29" w14:textId="1A3D781D" w:rsidR="00731977" w:rsidRPr="00386143" w:rsidRDefault="006C0250" w:rsidP="00731977">
                  <w:pPr>
                    <w:jc w:val="both"/>
                    <w:rPr>
                      <w:rFonts w:ascii="Carlito" w:eastAsia="Carlito" w:hAnsi="Carlito" w:cs="Carlito"/>
                      <w:sz w:val="20"/>
                      <w:lang w:val="en-US"/>
                    </w:rPr>
                  </w:pPr>
                  <w:r w:rsidRPr="00386143">
                    <w:rPr>
                      <w:rFonts w:ascii="Carlito" w:eastAsia="Carlito" w:hAnsi="Carlito" w:cs="Carlito"/>
                      <w:sz w:val="20"/>
                      <w:lang w:val="en-US"/>
                    </w:rPr>
                    <w:t>P3</w:t>
                  </w:r>
                </w:p>
              </w:tc>
              <w:tc>
                <w:tcPr>
                  <w:tcW w:w="7784" w:type="dxa"/>
                </w:tcPr>
                <w:p w14:paraId="05B3A36E" w14:textId="515E57C0" w:rsidR="00731977" w:rsidRPr="00386143" w:rsidRDefault="006C0250" w:rsidP="00731977">
                  <w:pPr>
                    <w:jc w:val="both"/>
                    <w:rPr>
                      <w:rFonts w:ascii="Carlito" w:eastAsia="Carlito" w:hAnsi="Carlito" w:cs="Carlito"/>
                      <w:sz w:val="20"/>
                      <w:lang w:val="en-US"/>
                    </w:rPr>
                  </w:pPr>
                  <w:r w:rsidRPr="00386143">
                    <w:rPr>
                      <w:rFonts w:ascii="Carlito" w:eastAsia="Carlito" w:hAnsi="Carlito" w:cs="Carlito"/>
                      <w:sz w:val="20"/>
                      <w:lang w:val="en-US"/>
                    </w:rPr>
                    <w:t>To be able to examine International Relations theories in depth and comparatively.</w:t>
                  </w:r>
                </w:p>
              </w:tc>
            </w:tr>
            <w:tr w:rsidR="00731977" w:rsidRPr="002E6734" w14:paraId="30202A05" w14:textId="77777777" w:rsidTr="00A25E79">
              <w:trPr>
                <w:trHeight w:val="268"/>
              </w:trPr>
              <w:tc>
                <w:tcPr>
                  <w:tcW w:w="1024" w:type="dxa"/>
                </w:tcPr>
                <w:p w14:paraId="7F16B3BD" w14:textId="352F3182" w:rsidR="00731977" w:rsidRPr="00386143" w:rsidRDefault="00386143" w:rsidP="00731977">
                  <w:pPr>
                    <w:jc w:val="both"/>
                    <w:rPr>
                      <w:rFonts w:ascii="Carlito" w:eastAsia="Carlito" w:hAnsi="Carlito" w:cs="Carlito"/>
                      <w:sz w:val="20"/>
                      <w:lang w:val="en-US"/>
                    </w:rPr>
                  </w:pPr>
                  <w:r w:rsidRPr="00386143">
                    <w:rPr>
                      <w:rFonts w:ascii="Carlito" w:eastAsia="Carlito" w:hAnsi="Carlito" w:cs="Carlito"/>
                      <w:sz w:val="20"/>
                      <w:lang w:val="en-US"/>
                    </w:rPr>
                    <w:t>P4</w:t>
                  </w:r>
                </w:p>
              </w:tc>
              <w:tc>
                <w:tcPr>
                  <w:tcW w:w="7784" w:type="dxa"/>
                </w:tcPr>
                <w:p w14:paraId="24FA446F" w14:textId="2590621E" w:rsidR="00731977" w:rsidRPr="00386143" w:rsidRDefault="00386143" w:rsidP="00731977">
                  <w:pPr>
                    <w:jc w:val="both"/>
                    <w:rPr>
                      <w:rFonts w:ascii="Carlito" w:eastAsia="Carlito" w:hAnsi="Carlito" w:cs="Carlito"/>
                      <w:sz w:val="20"/>
                      <w:lang w:val="en-US"/>
                    </w:rPr>
                  </w:pPr>
                  <w:r w:rsidRPr="00386143">
                    <w:rPr>
                      <w:rFonts w:ascii="Carlito" w:eastAsia="Carlito" w:hAnsi="Carlito" w:cs="Carlito"/>
                      <w:sz w:val="20"/>
                      <w:lang w:val="en-US"/>
                    </w:rPr>
                    <w:t>Using the theoretical foundations of International Relations, to be able to identify and critically interpret the fundamental problems of classical and contemporary international political phenomena.</w:t>
                  </w:r>
                </w:p>
              </w:tc>
            </w:tr>
            <w:tr w:rsidR="00731977" w:rsidRPr="002E6734" w14:paraId="089B4BCC" w14:textId="77777777" w:rsidTr="00A25E79">
              <w:trPr>
                <w:trHeight w:val="280"/>
              </w:trPr>
              <w:tc>
                <w:tcPr>
                  <w:tcW w:w="1024" w:type="dxa"/>
                </w:tcPr>
                <w:p w14:paraId="5CF8D788" w14:textId="7BDC028F" w:rsidR="00731977" w:rsidRPr="00386143" w:rsidRDefault="00386143" w:rsidP="00731977">
                  <w:pPr>
                    <w:jc w:val="both"/>
                    <w:rPr>
                      <w:rFonts w:ascii="Carlito" w:eastAsia="Carlito" w:hAnsi="Carlito" w:cs="Carlito"/>
                      <w:sz w:val="20"/>
                      <w:lang w:val="en-US"/>
                    </w:rPr>
                  </w:pPr>
                  <w:r w:rsidRPr="00386143">
                    <w:rPr>
                      <w:rFonts w:ascii="Carlito" w:eastAsia="Carlito" w:hAnsi="Carlito" w:cs="Carlito"/>
                      <w:sz w:val="20"/>
                      <w:lang w:val="en-US"/>
                    </w:rPr>
                    <w:t>P6</w:t>
                  </w:r>
                </w:p>
              </w:tc>
              <w:tc>
                <w:tcPr>
                  <w:tcW w:w="7784" w:type="dxa"/>
                </w:tcPr>
                <w:p w14:paraId="517174D1" w14:textId="420FB1A2" w:rsidR="00731977" w:rsidRPr="00386143" w:rsidRDefault="00386143" w:rsidP="00731977">
                  <w:pPr>
                    <w:jc w:val="both"/>
                    <w:rPr>
                      <w:rFonts w:ascii="Carlito" w:eastAsia="Carlito" w:hAnsi="Carlito" w:cs="Carlito"/>
                      <w:sz w:val="20"/>
                      <w:lang w:val="en-US"/>
                    </w:rPr>
                  </w:pPr>
                  <w:r w:rsidRPr="00386143">
                    <w:rPr>
                      <w:rFonts w:ascii="Carlito" w:eastAsia="Carlito" w:hAnsi="Carlito" w:cs="Carlito"/>
                      <w:sz w:val="20"/>
                      <w:lang w:val="en-US"/>
                    </w:rPr>
                    <w:t>To be able to follow academic developments related to the discipline and communicate with colleagues using the English language (“European Language Portfolio Global Scale”, Level B1)</w:t>
                  </w: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t>Contribution of the Course to Field Instruction</w:t>
            </w:r>
          </w:p>
        </w:tc>
        <w:tc>
          <w:tcPr>
            <w:tcW w:w="8835" w:type="dxa"/>
            <w:gridSpan w:val="5"/>
            <w:vAlign w:val="center"/>
          </w:tcPr>
          <w:p w14:paraId="27278B09" w14:textId="122062CB" w:rsidR="00EF389B" w:rsidRPr="002E6734" w:rsidRDefault="005751BD" w:rsidP="00EF389B">
            <w:pPr>
              <w:pStyle w:val="TableParagraph"/>
              <w:ind w:left="110"/>
              <w:jc w:val="both"/>
              <w:rPr>
                <w:sz w:val="20"/>
                <w:lang w:val="en-US"/>
              </w:rPr>
            </w:pPr>
            <w:r w:rsidRPr="005751BD">
              <w:rPr>
                <w:sz w:val="20"/>
                <w:lang w:val="en-US"/>
              </w:rPr>
              <w:t xml:space="preserve">The students will be able to have knowledge of different advanced theoretical approaches and practical applications supported by textbooks containing up-to-date information in the field of </w:t>
            </w:r>
            <w:r>
              <w:rPr>
                <w:sz w:val="20"/>
                <w:lang w:val="en-US"/>
              </w:rPr>
              <w:t>world politics</w:t>
            </w:r>
            <w:r w:rsidRPr="005751BD">
              <w:rPr>
                <w:sz w:val="20"/>
                <w:lang w:val="en-US"/>
              </w:rPr>
              <w:t>.</w:t>
            </w: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lastRenderedPageBreak/>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2E6734" w:rsidRDefault="00AF3427" w:rsidP="00AF3427">
                  <w:pPr>
                    <w:jc w:val="both"/>
                    <w:rPr>
                      <w:lang w:val="en-US"/>
                    </w:rPr>
                  </w:pPr>
                  <w:r w:rsidRPr="002E6734">
                    <w:rPr>
                      <w:sz w:val="20"/>
                      <w:szCs w:val="20"/>
                      <w:lang w:val="en-US"/>
                    </w:rPr>
                    <w:t>1. Week</w:t>
                  </w:r>
                </w:p>
              </w:tc>
              <w:tc>
                <w:tcPr>
                  <w:tcW w:w="7786" w:type="dxa"/>
                </w:tcPr>
                <w:p w14:paraId="6C4E2F98" w14:textId="74C02061" w:rsidR="00AF3427" w:rsidRPr="002E6734" w:rsidRDefault="002221D1" w:rsidP="00AF3427">
                  <w:pPr>
                    <w:jc w:val="both"/>
                    <w:rPr>
                      <w:lang w:val="en-US"/>
                    </w:rPr>
                  </w:pPr>
                  <w:r w:rsidRPr="002221D1">
                    <w:rPr>
                      <w:lang w:val="en-US"/>
                    </w:rPr>
                    <w:t>Introduction</w:t>
                  </w:r>
                  <w:r w:rsidR="00EA0C4D">
                    <w:rPr>
                      <w:lang w:val="en-US"/>
                    </w:rPr>
                    <w:t xml:space="preserve"> to Lecture and Syllabus</w:t>
                  </w:r>
                </w:p>
              </w:tc>
            </w:tr>
            <w:tr w:rsidR="00AF3427" w:rsidRPr="002E6734" w14:paraId="48B2FD97" w14:textId="77777777" w:rsidTr="00651F0F">
              <w:tc>
                <w:tcPr>
                  <w:tcW w:w="1024" w:type="dxa"/>
                </w:tcPr>
                <w:p w14:paraId="15300749" w14:textId="32549FCE" w:rsidR="00AF3427" w:rsidRPr="002E6734" w:rsidRDefault="00AF3427" w:rsidP="00AF3427">
                  <w:pPr>
                    <w:jc w:val="both"/>
                    <w:rPr>
                      <w:lang w:val="en-US"/>
                    </w:rPr>
                  </w:pPr>
                  <w:r w:rsidRPr="002E6734">
                    <w:rPr>
                      <w:sz w:val="20"/>
                      <w:szCs w:val="20"/>
                      <w:lang w:val="en-US"/>
                    </w:rPr>
                    <w:t>2. Week</w:t>
                  </w:r>
                </w:p>
              </w:tc>
              <w:tc>
                <w:tcPr>
                  <w:tcW w:w="7786" w:type="dxa"/>
                </w:tcPr>
                <w:p w14:paraId="6E9441F3" w14:textId="16238588" w:rsidR="00AF3427" w:rsidRPr="002E6734" w:rsidRDefault="00E8707F" w:rsidP="00AF3427">
                  <w:pPr>
                    <w:jc w:val="both"/>
                    <w:rPr>
                      <w:lang w:val="en-US"/>
                    </w:rPr>
                  </w:pPr>
                  <w:r w:rsidRPr="00E8707F">
                    <w:rPr>
                      <w:lang w:val="en-US"/>
                    </w:rPr>
                    <w:t>State Formation: Contextualizing State</w:t>
                  </w:r>
                </w:p>
              </w:tc>
            </w:tr>
            <w:tr w:rsidR="00AF3427" w:rsidRPr="002E6734" w14:paraId="48D28821" w14:textId="77777777" w:rsidTr="00651F0F">
              <w:tc>
                <w:tcPr>
                  <w:tcW w:w="1024" w:type="dxa"/>
                </w:tcPr>
                <w:p w14:paraId="15B75C81" w14:textId="14F5FB7D" w:rsidR="00AF3427" w:rsidRPr="002E6734" w:rsidRDefault="00AF3427" w:rsidP="00AF3427">
                  <w:pPr>
                    <w:jc w:val="both"/>
                    <w:rPr>
                      <w:lang w:val="en-US"/>
                    </w:rPr>
                  </w:pPr>
                  <w:r w:rsidRPr="002E6734">
                    <w:rPr>
                      <w:sz w:val="20"/>
                      <w:szCs w:val="20"/>
                      <w:lang w:val="en-US"/>
                    </w:rPr>
                    <w:t>3. Week</w:t>
                  </w:r>
                </w:p>
              </w:tc>
              <w:tc>
                <w:tcPr>
                  <w:tcW w:w="7786" w:type="dxa"/>
                </w:tcPr>
                <w:p w14:paraId="366481C1" w14:textId="78D0EB64" w:rsidR="00AF3427" w:rsidRPr="002E6734" w:rsidRDefault="008F4494" w:rsidP="00AF3427">
                  <w:pPr>
                    <w:jc w:val="both"/>
                    <w:rPr>
                      <w:lang w:val="en-US"/>
                    </w:rPr>
                  </w:pPr>
                  <w:r w:rsidRPr="008F4494">
                    <w:rPr>
                      <w:lang w:val="en-US"/>
                    </w:rPr>
                    <w:t>State Transformation in Comparative Perspective</w:t>
                  </w:r>
                </w:p>
              </w:tc>
            </w:tr>
            <w:tr w:rsidR="00AF3427" w:rsidRPr="002E6734" w14:paraId="73FCE1C6" w14:textId="77777777" w:rsidTr="00651F0F">
              <w:tc>
                <w:tcPr>
                  <w:tcW w:w="1024" w:type="dxa"/>
                </w:tcPr>
                <w:p w14:paraId="4FBD2A9C" w14:textId="77C2F814" w:rsidR="00AF3427" w:rsidRPr="002E6734" w:rsidRDefault="00AF3427" w:rsidP="00AF3427">
                  <w:pPr>
                    <w:jc w:val="both"/>
                    <w:rPr>
                      <w:lang w:val="en-US"/>
                    </w:rPr>
                  </w:pPr>
                  <w:r w:rsidRPr="002E6734">
                    <w:rPr>
                      <w:sz w:val="20"/>
                      <w:szCs w:val="20"/>
                      <w:lang w:val="en-US"/>
                    </w:rPr>
                    <w:t>4. Week</w:t>
                  </w:r>
                </w:p>
              </w:tc>
              <w:tc>
                <w:tcPr>
                  <w:tcW w:w="7786" w:type="dxa"/>
                </w:tcPr>
                <w:p w14:paraId="27188D99" w14:textId="037F6401" w:rsidR="00AF3427" w:rsidRPr="002E6734" w:rsidRDefault="00A15119" w:rsidP="00AF3427">
                  <w:pPr>
                    <w:jc w:val="both"/>
                    <w:rPr>
                      <w:lang w:val="en-US"/>
                    </w:rPr>
                  </w:pPr>
                  <w:r w:rsidRPr="00A15119">
                    <w:rPr>
                      <w:lang w:val="en-US"/>
                    </w:rPr>
                    <w:t>Plurinational States</w:t>
                  </w:r>
                </w:p>
              </w:tc>
            </w:tr>
            <w:tr w:rsidR="00AF3427" w:rsidRPr="002E6734" w14:paraId="668D5AA6" w14:textId="77777777" w:rsidTr="00651F0F">
              <w:tc>
                <w:tcPr>
                  <w:tcW w:w="1024" w:type="dxa"/>
                </w:tcPr>
                <w:p w14:paraId="476E55CD" w14:textId="4E5A4658" w:rsidR="00AF3427" w:rsidRPr="002E6734" w:rsidRDefault="00AF3427" w:rsidP="00AF3427">
                  <w:pPr>
                    <w:jc w:val="both"/>
                    <w:rPr>
                      <w:lang w:val="en-US"/>
                    </w:rPr>
                  </w:pPr>
                  <w:r w:rsidRPr="002E6734">
                    <w:rPr>
                      <w:sz w:val="20"/>
                      <w:szCs w:val="20"/>
                      <w:lang w:val="en-US"/>
                    </w:rPr>
                    <w:t>5. Week</w:t>
                  </w:r>
                </w:p>
              </w:tc>
              <w:tc>
                <w:tcPr>
                  <w:tcW w:w="7786" w:type="dxa"/>
                </w:tcPr>
                <w:p w14:paraId="6EDE7076" w14:textId="32E8A197" w:rsidR="00AF3427" w:rsidRPr="002E6734" w:rsidRDefault="00EB0E8D" w:rsidP="00AF3427">
                  <w:pPr>
                    <w:jc w:val="both"/>
                    <w:rPr>
                      <w:lang w:val="en-US"/>
                    </w:rPr>
                  </w:pPr>
                  <w:r w:rsidRPr="00EB0E8D">
                    <w:rPr>
                      <w:lang w:val="en-US"/>
                    </w:rPr>
                    <w:t>The Rentier State and Resource Politics</w:t>
                  </w:r>
                </w:p>
              </w:tc>
            </w:tr>
            <w:tr w:rsidR="00AF3427" w:rsidRPr="002E6734" w14:paraId="3A75AAFD" w14:textId="77777777" w:rsidTr="00651F0F">
              <w:tc>
                <w:tcPr>
                  <w:tcW w:w="1024" w:type="dxa"/>
                </w:tcPr>
                <w:p w14:paraId="57DB6ED7" w14:textId="360D2BCB" w:rsidR="00AF3427" w:rsidRPr="002E6734" w:rsidRDefault="00AF3427" w:rsidP="00AF3427">
                  <w:pPr>
                    <w:jc w:val="both"/>
                    <w:rPr>
                      <w:lang w:val="en-US"/>
                    </w:rPr>
                  </w:pPr>
                  <w:r w:rsidRPr="002E6734">
                    <w:rPr>
                      <w:sz w:val="20"/>
                      <w:szCs w:val="20"/>
                      <w:lang w:val="en-US"/>
                    </w:rPr>
                    <w:t>6. Week</w:t>
                  </w:r>
                </w:p>
              </w:tc>
              <w:tc>
                <w:tcPr>
                  <w:tcW w:w="7786" w:type="dxa"/>
                </w:tcPr>
                <w:p w14:paraId="18381476" w14:textId="7751DDA7" w:rsidR="00AF3427" w:rsidRPr="002E6734" w:rsidRDefault="00BB647C" w:rsidP="00AF3427">
                  <w:pPr>
                    <w:jc w:val="both"/>
                    <w:rPr>
                      <w:lang w:val="en-US"/>
                    </w:rPr>
                  </w:pPr>
                  <w:r w:rsidRPr="00BB647C">
                    <w:rPr>
                      <w:lang w:val="en-US"/>
                    </w:rPr>
                    <w:t>Political Regimes and State Structures</w:t>
                  </w:r>
                </w:p>
              </w:tc>
            </w:tr>
            <w:tr w:rsidR="00AF3427" w:rsidRPr="002E6734" w14:paraId="6B71A7E3" w14:textId="77777777" w:rsidTr="00651F0F">
              <w:tc>
                <w:tcPr>
                  <w:tcW w:w="1024" w:type="dxa"/>
                </w:tcPr>
                <w:p w14:paraId="4F2D879F" w14:textId="23D8E40C" w:rsidR="00AF3427" w:rsidRPr="002E6734" w:rsidRDefault="00AF3427" w:rsidP="00AF3427">
                  <w:pPr>
                    <w:jc w:val="both"/>
                    <w:rPr>
                      <w:lang w:val="en-US"/>
                    </w:rPr>
                  </w:pPr>
                  <w:r w:rsidRPr="002E6734">
                    <w:rPr>
                      <w:sz w:val="20"/>
                      <w:szCs w:val="20"/>
                      <w:lang w:val="en-US"/>
                    </w:rPr>
                    <w:t>7. Week</w:t>
                  </w:r>
                </w:p>
              </w:tc>
              <w:tc>
                <w:tcPr>
                  <w:tcW w:w="7786" w:type="dxa"/>
                </w:tcPr>
                <w:p w14:paraId="20B8C531" w14:textId="2D9CD34B" w:rsidR="00AF3427" w:rsidRPr="002E6734" w:rsidRDefault="009846CD" w:rsidP="00AF3427">
                  <w:pPr>
                    <w:jc w:val="both"/>
                    <w:rPr>
                      <w:lang w:val="en-US"/>
                    </w:rPr>
                  </w:pPr>
                  <w:r w:rsidRPr="009846CD">
                    <w:rPr>
                      <w:lang w:val="en-US"/>
                    </w:rPr>
                    <w:t xml:space="preserve">Federalism and </w:t>
                  </w:r>
                  <w:proofErr w:type="spellStart"/>
                  <w:r w:rsidRPr="009846CD">
                    <w:rPr>
                      <w:lang w:val="en-US"/>
                    </w:rPr>
                    <w:t>Unitarism</w:t>
                  </w:r>
                  <w:proofErr w:type="spellEnd"/>
                </w:p>
              </w:tc>
            </w:tr>
            <w:tr w:rsidR="00AF3427" w:rsidRPr="002E6734" w14:paraId="5339304A" w14:textId="77777777" w:rsidTr="00651F0F">
              <w:tc>
                <w:tcPr>
                  <w:tcW w:w="1024" w:type="dxa"/>
                </w:tcPr>
                <w:p w14:paraId="0242AD6C" w14:textId="79207C72" w:rsidR="00AF3427" w:rsidRPr="002E6734" w:rsidRDefault="00AF3427" w:rsidP="00AF3427">
                  <w:pPr>
                    <w:jc w:val="both"/>
                    <w:rPr>
                      <w:lang w:val="en-US"/>
                    </w:rPr>
                  </w:pPr>
                  <w:r w:rsidRPr="002E6734">
                    <w:rPr>
                      <w:sz w:val="20"/>
                      <w:szCs w:val="20"/>
                      <w:lang w:val="en-US"/>
                    </w:rPr>
                    <w:t>8. Week</w:t>
                  </w:r>
                </w:p>
              </w:tc>
              <w:tc>
                <w:tcPr>
                  <w:tcW w:w="7786" w:type="dxa"/>
                </w:tcPr>
                <w:p w14:paraId="5303C8BF" w14:textId="5222B125" w:rsidR="00AF3427" w:rsidRPr="002E6734" w:rsidRDefault="00AF3427" w:rsidP="00AF3427">
                  <w:pPr>
                    <w:jc w:val="both"/>
                    <w:rPr>
                      <w:lang w:val="en-US"/>
                    </w:rPr>
                  </w:pPr>
                  <w:r w:rsidRPr="002E6734">
                    <w:rPr>
                      <w:sz w:val="20"/>
                      <w:szCs w:val="20"/>
                      <w:lang w:val="en-US"/>
                    </w:rPr>
                    <w:t>Midterm Week</w:t>
                  </w:r>
                </w:p>
              </w:tc>
            </w:tr>
            <w:tr w:rsidR="00AF3427" w:rsidRPr="002E6734" w14:paraId="086A26ED" w14:textId="77777777" w:rsidTr="00651F0F">
              <w:tc>
                <w:tcPr>
                  <w:tcW w:w="1024" w:type="dxa"/>
                </w:tcPr>
                <w:p w14:paraId="53FE5CC0" w14:textId="02B6E4C2" w:rsidR="00AF3427" w:rsidRPr="002E6734" w:rsidRDefault="00AF3427" w:rsidP="00AF3427">
                  <w:pPr>
                    <w:jc w:val="both"/>
                    <w:rPr>
                      <w:lang w:val="en-US"/>
                    </w:rPr>
                  </w:pPr>
                  <w:r w:rsidRPr="002E6734">
                    <w:rPr>
                      <w:sz w:val="20"/>
                      <w:szCs w:val="20"/>
                      <w:lang w:val="en-US"/>
                    </w:rPr>
                    <w:t>9. Week</w:t>
                  </w:r>
                </w:p>
              </w:tc>
              <w:tc>
                <w:tcPr>
                  <w:tcW w:w="7786" w:type="dxa"/>
                </w:tcPr>
                <w:p w14:paraId="603911BB" w14:textId="22925130" w:rsidR="00AF3427" w:rsidRPr="002E6734" w:rsidRDefault="0028142F" w:rsidP="00AF3427">
                  <w:pPr>
                    <w:jc w:val="both"/>
                    <w:rPr>
                      <w:lang w:val="en-US"/>
                    </w:rPr>
                  </w:pPr>
                  <w:r w:rsidRPr="0028142F">
                    <w:rPr>
                      <w:lang w:val="en-US"/>
                    </w:rPr>
                    <w:t>The Developmental State and Economic Governance</w:t>
                  </w:r>
                </w:p>
              </w:tc>
            </w:tr>
            <w:tr w:rsidR="00AF3427" w:rsidRPr="002E6734" w14:paraId="2875823C" w14:textId="77777777" w:rsidTr="00651F0F">
              <w:tc>
                <w:tcPr>
                  <w:tcW w:w="1024" w:type="dxa"/>
                </w:tcPr>
                <w:p w14:paraId="6B640C77" w14:textId="6FF93DC7" w:rsidR="00AF3427" w:rsidRPr="002E6734" w:rsidRDefault="00AF3427" w:rsidP="00AF3427">
                  <w:pPr>
                    <w:jc w:val="both"/>
                    <w:rPr>
                      <w:lang w:val="en-US"/>
                    </w:rPr>
                  </w:pPr>
                  <w:r w:rsidRPr="002E6734">
                    <w:rPr>
                      <w:sz w:val="20"/>
                      <w:szCs w:val="20"/>
                      <w:lang w:val="en-US"/>
                    </w:rPr>
                    <w:t>10. Week</w:t>
                  </w:r>
                </w:p>
              </w:tc>
              <w:tc>
                <w:tcPr>
                  <w:tcW w:w="7786" w:type="dxa"/>
                </w:tcPr>
                <w:p w14:paraId="783F1E2C" w14:textId="193E6A1D" w:rsidR="00AF3427" w:rsidRPr="002E6734" w:rsidRDefault="00CB63C5" w:rsidP="00AF3427">
                  <w:pPr>
                    <w:jc w:val="both"/>
                    <w:rPr>
                      <w:lang w:val="en-US"/>
                    </w:rPr>
                  </w:pPr>
                  <w:r w:rsidRPr="00CB63C5">
                    <w:rPr>
                      <w:lang w:val="en-US"/>
                    </w:rPr>
                    <w:t>State Failure and Fragility</w:t>
                  </w:r>
                </w:p>
              </w:tc>
            </w:tr>
            <w:tr w:rsidR="00AF3427" w:rsidRPr="002E6734" w14:paraId="4CFD8761" w14:textId="77777777" w:rsidTr="00651F0F">
              <w:tc>
                <w:tcPr>
                  <w:tcW w:w="1024" w:type="dxa"/>
                </w:tcPr>
                <w:p w14:paraId="3F120233" w14:textId="4457AB86" w:rsidR="00AF3427" w:rsidRPr="002E6734" w:rsidRDefault="00AF3427" w:rsidP="00AF3427">
                  <w:pPr>
                    <w:jc w:val="both"/>
                    <w:rPr>
                      <w:lang w:val="en-US"/>
                    </w:rPr>
                  </w:pPr>
                  <w:r w:rsidRPr="002E6734">
                    <w:rPr>
                      <w:sz w:val="20"/>
                      <w:szCs w:val="20"/>
                      <w:lang w:val="en-US"/>
                    </w:rPr>
                    <w:t>11. Week</w:t>
                  </w:r>
                </w:p>
              </w:tc>
              <w:tc>
                <w:tcPr>
                  <w:tcW w:w="7786" w:type="dxa"/>
                </w:tcPr>
                <w:p w14:paraId="30EB4687" w14:textId="4CA4CC6C" w:rsidR="00AF3427" w:rsidRPr="002E6734" w:rsidRDefault="00F45258" w:rsidP="00AF3427">
                  <w:pPr>
                    <w:jc w:val="both"/>
                    <w:rPr>
                      <w:lang w:val="en-US"/>
                    </w:rPr>
                  </w:pPr>
                  <w:r w:rsidRPr="00F45258">
                    <w:rPr>
                      <w:lang w:val="en-US"/>
                    </w:rPr>
                    <w:t>Predatory State and State Transformation</w:t>
                  </w:r>
                </w:p>
              </w:tc>
            </w:tr>
            <w:tr w:rsidR="00AF3427" w:rsidRPr="002E6734" w14:paraId="238A262F" w14:textId="77777777" w:rsidTr="00651F0F">
              <w:tc>
                <w:tcPr>
                  <w:tcW w:w="1024" w:type="dxa"/>
                </w:tcPr>
                <w:p w14:paraId="353F6204" w14:textId="51E6C8D2" w:rsidR="00AF3427" w:rsidRPr="002E6734" w:rsidRDefault="00AF3427" w:rsidP="00AF3427">
                  <w:pPr>
                    <w:jc w:val="both"/>
                    <w:rPr>
                      <w:lang w:val="en-US"/>
                    </w:rPr>
                  </w:pPr>
                  <w:r w:rsidRPr="002E6734">
                    <w:rPr>
                      <w:sz w:val="20"/>
                      <w:szCs w:val="20"/>
                      <w:lang w:val="en-US"/>
                    </w:rPr>
                    <w:t>12. Week</w:t>
                  </w:r>
                </w:p>
              </w:tc>
              <w:tc>
                <w:tcPr>
                  <w:tcW w:w="7786" w:type="dxa"/>
                </w:tcPr>
                <w:p w14:paraId="5B9FFBC2" w14:textId="110F9F3C" w:rsidR="00AF3427" w:rsidRPr="002E6734" w:rsidRDefault="0090283E" w:rsidP="00AF3427">
                  <w:pPr>
                    <w:jc w:val="both"/>
                    <w:rPr>
                      <w:lang w:val="en-US"/>
                    </w:rPr>
                  </w:pPr>
                  <w:r w:rsidRPr="0090283E">
                    <w:rPr>
                      <w:lang w:val="en-US"/>
                    </w:rPr>
                    <w:t>Competition State</w:t>
                  </w:r>
                </w:p>
              </w:tc>
            </w:tr>
            <w:tr w:rsidR="00AF3427" w:rsidRPr="002E6734" w14:paraId="1B337996" w14:textId="77777777" w:rsidTr="00651F0F">
              <w:tc>
                <w:tcPr>
                  <w:tcW w:w="1024" w:type="dxa"/>
                </w:tcPr>
                <w:p w14:paraId="05E79159" w14:textId="796E7069" w:rsidR="00AF3427" w:rsidRPr="002E6734" w:rsidRDefault="00AF3427" w:rsidP="00AF3427">
                  <w:pPr>
                    <w:jc w:val="both"/>
                    <w:rPr>
                      <w:lang w:val="en-US"/>
                    </w:rPr>
                  </w:pPr>
                  <w:r w:rsidRPr="002E6734">
                    <w:rPr>
                      <w:sz w:val="20"/>
                      <w:szCs w:val="20"/>
                      <w:lang w:val="en-US"/>
                    </w:rPr>
                    <w:t>13. Week</w:t>
                  </w:r>
                </w:p>
              </w:tc>
              <w:tc>
                <w:tcPr>
                  <w:tcW w:w="7786" w:type="dxa"/>
                </w:tcPr>
                <w:p w14:paraId="1FBFC69F" w14:textId="2C8B1863" w:rsidR="00AF3427" w:rsidRPr="002E6734" w:rsidRDefault="0090283E" w:rsidP="00AF3427">
                  <w:pPr>
                    <w:jc w:val="both"/>
                    <w:rPr>
                      <w:lang w:val="en-US"/>
                    </w:rPr>
                  </w:pPr>
                  <w:r>
                    <w:rPr>
                      <w:lang w:val="en-US"/>
                    </w:rPr>
                    <w:t>Welfare</w:t>
                  </w:r>
                  <w:r w:rsidRPr="0090283E">
                    <w:rPr>
                      <w:lang w:val="en-US"/>
                    </w:rPr>
                    <w:t xml:space="preserve"> State</w:t>
                  </w:r>
                </w:p>
              </w:tc>
            </w:tr>
            <w:tr w:rsidR="00AF3427" w:rsidRPr="002E6734" w14:paraId="4E57598D" w14:textId="77777777" w:rsidTr="00651F0F">
              <w:tc>
                <w:tcPr>
                  <w:tcW w:w="1024" w:type="dxa"/>
                </w:tcPr>
                <w:p w14:paraId="20CC2F55" w14:textId="292320B8" w:rsidR="00AF3427" w:rsidRPr="002E6734" w:rsidRDefault="00AF3427" w:rsidP="00AF3427">
                  <w:pPr>
                    <w:jc w:val="both"/>
                    <w:rPr>
                      <w:lang w:val="en-US"/>
                    </w:rPr>
                  </w:pPr>
                  <w:r w:rsidRPr="002E6734">
                    <w:rPr>
                      <w:sz w:val="20"/>
                      <w:szCs w:val="20"/>
                      <w:lang w:val="en-US"/>
                    </w:rPr>
                    <w:t>14. Week</w:t>
                  </w:r>
                </w:p>
              </w:tc>
              <w:tc>
                <w:tcPr>
                  <w:tcW w:w="7786" w:type="dxa"/>
                </w:tcPr>
                <w:p w14:paraId="5440A06D" w14:textId="2DA3CA2C" w:rsidR="00AF3427" w:rsidRPr="002E6734" w:rsidRDefault="00D06C62" w:rsidP="00AF3427">
                  <w:pPr>
                    <w:jc w:val="both"/>
                    <w:rPr>
                      <w:lang w:val="en-US"/>
                    </w:rPr>
                  </w:pPr>
                  <w:r>
                    <w:rPr>
                      <w:lang w:val="en-US"/>
                    </w:rPr>
                    <w:t>Wrap-up and Class Discussions</w:t>
                  </w:r>
                </w:p>
              </w:tc>
            </w:tr>
            <w:tr w:rsidR="00AF3427" w:rsidRPr="002E6734" w14:paraId="0A7F942A" w14:textId="77777777" w:rsidTr="00651F0F">
              <w:tc>
                <w:tcPr>
                  <w:tcW w:w="1024" w:type="dxa"/>
                </w:tcPr>
                <w:p w14:paraId="08135BE7" w14:textId="107D7081" w:rsidR="00AF3427" w:rsidRPr="002E6734" w:rsidRDefault="00AF3427" w:rsidP="00AF3427">
                  <w:pPr>
                    <w:jc w:val="both"/>
                    <w:rPr>
                      <w:lang w:val="en-US"/>
                    </w:rPr>
                  </w:pPr>
                  <w:r w:rsidRPr="002E6734">
                    <w:rPr>
                      <w:sz w:val="20"/>
                      <w:szCs w:val="20"/>
                      <w:lang w:val="en-US"/>
                    </w:rPr>
                    <w:t>15. Week</w:t>
                  </w:r>
                </w:p>
              </w:tc>
              <w:tc>
                <w:tcPr>
                  <w:tcW w:w="7786" w:type="dxa"/>
                </w:tcPr>
                <w:p w14:paraId="69B9730C" w14:textId="71269B2A" w:rsidR="00AF3427" w:rsidRPr="00140B2A" w:rsidRDefault="00140B2A" w:rsidP="00AF3427">
                  <w:pPr>
                    <w:jc w:val="both"/>
                    <w:rPr>
                      <w:lang w:eastAsia="zh-CN"/>
                    </w:rPr>
                  </w:pPr>
                  <w:r>
                    <w:rPr>
                      <w:lang w:val="en-US"/>
                    </w:rPr>
                    <w:t>Final-</w:t>
                  </w:r>
                  <w:proofErr w:type="spellStart"/>
                  <w:r>
                    <w:rPr>
                      <w:lang w:eastAsia="zh-CN"/>
                    </w:rPr>
                    <w:t>Exam</w:t>
                  </w:r>
                  <w:proofErr w:type="spellEnd"/>
                  <w:r>
                    <w:rPr>
                      <w:lang w:eastAsia="zh-CN"/>
                    </w:rPr>
                    <w:t xml:space="preserve"> </w:t>
                  </w:r>
                  <w:proofErr w:type="spellStart"/>
                  <w:r>
                    <w:rPr>
                      <w:lang w:eastAsia="zh-CN"/>
                    </w:rPr>
                    <w:t>Week</w:t>
                  </w:r>
                  <w:proofErr w:type="spellEnd"/>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7F8FC6EF" w:rsidR="002E6734" w:rsidRPr="002E6734" w:rsidRDefault="00D06C62"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2E7EA27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0C685E">
                    <w:rPr>
                      <w:rFonts w:ascii="Calibri" w:eastAsia="Times New Roman" w:hAnsi="Calibri" w:cs="Calibri"/>
                      <w:color w:val="3B3A36"/>
                      <w:sz w:val="20"/>
                      <w:szCs w:val="20"/>
                      <w:lang w:val="en-US" w:eastAsia="tr-TR"/>
                    </w:rPr>
                    <w:t>30</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2E6734" w:rsidRPr="002E6734" w:rsidRDefault="002E6734" w:rsidP="002E6734">
                  <w:pPr>
                    <w:rPr>
                      <w:rFonts w:ascii="Calibri" w:hAnsi="Calibri" w:cs="Calibri"/>
                      <w:sz w:val="20"/>
                      <w:szCs w:val="20"/>
                      <w:lang w:val="en-US"/>
                    </w:rPr>
                  </w:pPr>
                </w:p>
              </w:tc>
              <w:tc>
                <w:tcPr>
                  <w:tcW w:w="3020" w:type="dxa"/>
                </w:tcPr>
                <w:p w14:paraId="0219E462" w14:textId="10212D5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3F65602C" w:rsidR="002E6734" w:rsidRPr="002E6734" w:rsidRDefault="00585875"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4618C465" w14:textId="35630B3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0C685E">
                    <w:rPr>
                      <w:rFonts w:ascii="Calibri" w:eastAsia="Times New Roman" w:hAnsi="Calibri" w:cs="Calibri"/>
                      <w:color w:val="3B3A36"/>
                      <w:sz w:val="20"/>
                      <w:szCs w:val="20"/>
                      <w:lang w:val="en-US" w:eastAsia="tr-TR"/>
                    </w:rPr>
                    <w:t>20</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72C8E2A1" w:rsidR="002E6734" w:rsidRPr="002E6734" w:rsidRDefault="002E6734" w:rsidP="002E6734">
                  <w:pPr>
                    <w:rPr>
                      <w:rFonts w:ascii="Calibri" w:hAnsi="Calibri" w:cs="Calibri"/>
                      <w:sz w:val="20"/>
                      <w:szCs w:val="20"/>
                      <w:lang w:val="en-US"/>
                    </w:rPr>
                  </w:pPr>
                </w:p>
              </w:tc>
              <w:tc>
                <w:tcPr>
                  <w:tcW w:w="3020" w:type="dxa"/>
                </w:tcPr>
                <w:p w14:paraId="6DAE8E9F" w14:textId="031A968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2E6734" w:rsidRPr="002E6734" w:rsidRDefault="002E6734" w:rsidP="002E6734">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2F27551F" w:rsidR="002E6734" w:rsidRPr="002E6734" w:rsidRDefault="00585875"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03F2AEB9"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r w:rsidR="005B6B4B">
                    <w:rPr>
                      <w:rFonts w:ascii="Calibri" w:hAnsi="Calibri" w:cs="Calibri"/>
                      <w:sz w:val="20"/>
                      <w:szCs w:val="20"/>
                      <w:lang w:val="en-US"/>
                    </w:rPr>
                    <w:t>50</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40F930F3" w:rsidR="002E6734" w:rsidRPr="002E6734" w:rsidRDefault="000C685E" w:rsidP="002E6734">
                  <w:pPr>
                    <w:rPr>
                      <w:rFonts w:ascii="Calibri" w:hAnsi="Calibri" w:cs="Calibri"/>
                      <w:b/>
                      <w:bCs/>
                      <w:sz w:val="20"/>
                      <w:szCs w:val="20"/>
                      <w:lang w:val="en-US"/>
                    </w:rPr>
                  </w:pPr>
                  <w:r>
                    <w:rPr>
                      <w:rFonts w:ascii="Calibri" w:hAnsi="Calibri" w:cs="Calibri"/>
                      <w:b/>
                      <w:bCs/>
                      <w:sz w:val="20"/>
                      <w:szCs w:val="20"/>
                      <w:lang w:val="en-US"/>
                    </w:rPr>
                    <w:t>4</w:t>
                  </w: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6"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0C685E"/>
    <w:rsid w:val="00140B2A"/>
    <w:rsid w:val="001746AA"/>
    <w:rsid w:val="001B4555"/>
    <w:rsid w:val="001D4787"/>
    <w:rsid w:val="002221D1"/>
    <w:rsid w:val="002456F9"/>
    <w:rsid w:val="00267859"/>
    <w:rsid w:val="00275911"/>
    <w:rsid w:val="0028142F"/>
    <w:rsid w:val="002B2984"/>
    <w:rsid w:val="002D613C"/>
    <w:rsid w:val="002E6734"/>
    <w:rsid w:val="00305F76"/>
    <w:rsid w:val="00311158"/>
    <w:rsid w:val="003404B8"/>
    <w:rsid w:val="00341C9A"/>
    <w:rsid w:val="003422D1"/>
    <w:rsid w:val="003518A4"/>
    <w:rsid w:val="003642A1"/>
    <w:rsid w:val="00386143"/>
    <w:rsid w:val="004134A5"/>
    <w:rsid w:val="00416BD3"/>
    <w:rsid w:val="004270F5"/>
    <w:rsid w:val="00440654"/>
    <w:rsid w:val="00464A63"/>
    <w:rsid w:val="0048206C"/>
    <w:rsid w:val="004B0AA4"/>
    <w:rsid w:val="004C48BD"/>
    <w:rsid w:val="005070AB"/>
    <w:rsid w:val="00574631"/>
    <w:rsid w:val="005751BD"/>
    <w:rsid w:val="00581ACC"/>
    <w:rsid w:val="00585875"/>
    <w:rsid w:val="00597347"/>
    <w:rsid w:val="005A1CB3"/>
    <w:rsid w:val="005B6B4B"/>
    <w:rsid w:val="00630C60"/>
    <w:rsid w:val="006339D8"/>
    <w:rsid w:val="00651F0F"/>
    <w:rsid w:val="00661E39"/>
    <w:rsid w:val="00677D29"/>
    <w:rsid w:val="00685BD5"/>
    <w:rsid w:val="006B023A"/>
    <w:rsid w:val="006C0250"/>
    <w:rsid w:val="006E1589"/>
    <w:rsid w:val="00706782"/>
    <w:rsid w:val="00723C8C"/>
    <w:rsid w:val="00730CE1"/>
    <w:rsid w:val="00731977"/>
    <w:rsid w:val="00732FAF"/>
    <w:rsid w:val="0073516E"/>
    <w:rsid w:val="00736CCA"/>
    <w:rsid w:val="00776E01"/>
    <w:rsid w:val="00793015"/>
    <w:rsid w:val="0079471C"/>
    <w:rsid w:val="007A7AC1"/>
    <w:rsid w:val="007D15E2"/>
    <w:rsid w:val="008309D1"/>
    <w:rsid w:val="0083209D"/>
    <w:rsid w:val="00833418"/>
    <w:rsid w:val="008465B8"/>
    <w:rsid w:val="00871F5E"/>
    <w:rsid w:val="008B7E4A"/>
    <w:rsid w:val="008F4494"/>
    <w:rsid w:val="008F5B0A"/>
    <w:rsid w:val="0090283E"/>
    <w:rsid w:val="00930D25"/>
    <w:rsid w:val="00940D85"/>
    <w:rsid w:val="009846CD"/>
    <w:rsid w:val="009922BC"/>
    <w:rsid w:val="00995BFD"/>
    <w:rsid w:val="009D039A"/>
    <w:rsid w:val="009E30BE"/>
    <w:rsid w:val="00A15119"/>
    <w:rsid w:val="00A27A75"/>
    <w:rsid w:val="00A350CC"/>
    <w:rsid w:val="00A62A20"/>
    <w:rsid w:val="00A85300"/>
    <w:rsid w:val="00AB3537"/>
    <w:rsid w:val="00AD53DA"/>
    <w:rsid w:val="00AE7B0A"/>
    <w:rsid w:val="00AF3427"/>
    <w:rsid w:val="00B12511"/>
    <w:rsid w:val="00B76BB2"/>
    <w:rsid w:val="00BB53D6"/>
    <w:rsid w:val="00BB647C"/>
    <w:rsid w:val="00BC180B"/>
    <w:rsid w:val="00BE58DF"/>
    <w:rsid w:val="00BF3EFD"/>
    <w:rsid w:val="00C0698A"/>
    <w:rsid w:val="00C17289"/>
    <w:rsid w:val="00C4423B"/>
    <w:rsid w:val="00C63DB9"/>
    <w:rsid w:val="00C875E5"/>
    <w:rsid w:val="00CB4247"/>
    <w:rsid w:val="00CB63C5"/>
    <w:rsid w:val="00CC3B7A"/>
    <w:rsid w:val="00CC7DF4"/>
    <w:rsid w:val="00D06C62"/>
    <w:rsid w:val="00D26E72"/>
    <w:rsid w:val="00D610BB"/>
    <w:rsid w:val="00DB2A49"/>
    <w:rsid w:val="00DD464F"/>
    <w:rsid w:val="00DD6DCD"/>
    <w:rsid w:val="00E116BA"/>
    <w:rsid w:val="00E15417"/>
    <w:rsid w:val="00E325D4"/>
    <w:rsid w:val="00E812C2"/>
    <w:rsid w:val="00E8707F"/>
    <w:rsid w:val="00EA0C4D"/>
    <w:rsid w:val="00EB0594"/>
    <w:rsid w:val="00EB0E8D"/>
    <w:rsid w:val="00EE3856"/>
    <w:rsid w:val="00EF1DCF"/>
    <w:rsid w:val="00EF389B"/>
    <w:rsid w:val="00EF38EA"/>
    <w:rsid w:val="00F259CA"/>
    <w:rsid w:val="00F45258"/>
    <w:rsid w:val="00FA0D12"/>
    <w:rsid w:val="00FA3E0A"/>
    <w:rsid w:val="00FA47B9"/>
    <w:rsid w:val="00FD2597"/>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EF1DCF"/>
    <w:rPr>
      <w:color w:val="605E5C"/>
      <w:shd w:val="clear" w:color="auto" w:fill="E1DFDD"/>
    </w:rPr>
  </w:style>
  <w:style w:type="paragraph" w:styleId="NormalWeb">
    <w:name w:val="Normal (Web)"/>
    <w:basedOn w:val="Normal"/>
    <w:uiPriority w:val="99"/>
    <w:unhideWhenUsed/>
    <w:rsid w:val="00B12511"/>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contributors">
    <w:name w:val="contributors"/>
    <w:basedOn w:val="VarsaylanParagrafYazTipi"/>
    <w:rsid w:val="003518A4"/>
  </w:style>
  <w:style w:type="character" w:styleId="Vurgu">
    <w:name w:val="Emphasis"/>
    <w:basedOn w:val="VarsaylanParagrafYazTipi"/>
    <w:uiPriority w:val="20"/>
    <w:qFormat/>
    <w:rsid w:val="003518A4"/>
    <w:rPr>
      <w:i/>
      <w:iCs/>
    </w:rPr>
  </w:style>
  <w:style w:type="character" w:customStyle="1" w:styleId="print-publication-date">
    <w:name w:val="print-publication-date"/>
    <w:basedOn w:val="VarsaylanParagrafYazTipi"/>
    <w:rsid w:val="003518A4"/>
  </w:style>
  <w:style w:type="character" w:customStyle="1" w:styleId="online-edition">
    <w:name w:val="online-edition"/>
    <w:basedOn w:val="VarsaylanParagrafYazTipi"/>
    <w:rsid w:val="003518A4"/>
  </w:style>
  <w:style w:type="character" w:customStyle="1" w:styleId="containing-site">
    <w:name w:val="containing-site"/>
    <w:basedOn w:val="VarsaylanParagrafYazTipi"/>
    <w:rsid w:val="003518A4"/>
  </w:style>
  <w:style w:type="character" w:customStyle="1" w:styleId="online-publication-date">
    <w:name w:val="online-publication-date"/>
    <w:basedOn w:val="VarsaylanParagrafYazTipi"/>
    <w:rsid w:val="00351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hyperlink" Target="mailto:cmbulut@ayb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535</Words>
  <Characters>3845</Characters>
  <Application>Microsoft Office Word</Application>
  <DocSecurity>0</DocSecurity>
  <Lines>73</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Cengiz Mert Bulut</cp:lastModifiedBy>
  <cp:revision>21</cp:revision>
  <dcterms:created xsi:type="dcterms:W3CDTF">2026-03-31T09:08:00Z</dcterms:created>
  <dcterms:modified xsi:type="dcterms:W3CDTF">2026-03-31T12:52:00Z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